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F5" w:rsidRDefault="00844443" w:rsidP="0071080F">
      <w:pPr>
        <w:jc w:val="center"/>
        <w:rPr>
          <w:b/>
          <w:bCs/>
          <w:sz w:val="32"/>
          <w:szCs w:val="32"/>
        </w:rPr>
      </w:pPr>
      <w:r w:rsidRPr="00B018DE">
        <w:rPr>
          <w:b/>
          <w:bCs/>
          <w:sz w:val="32"/>
          <w:szCs w:val="32"/>
        </w:rPr>
        <w:t xml:space="preserve">Options for </w:t>
      </w:r>
      <w:r w:rsidR="00B407B3">
        <w:rPr>
          <w:b/>
          <w:bCs/>
          <w:sz w:val="32"/>
          <w:szCs w:val="32"/>
        </w:rPr>
        <w:t xml:space="preserve">future </w:t>
      </w:r>
      <w:r w:rsidRPr="00B018DE">
        <w:rPr>
          <w:b/>
          <w:bCs/>
          <w:sz w:val="32"/>
          <w:szCs w:val="32"/>
        </w:rPr>
        <w:t>IHP+ Steering Committee membership</w:t>
      </w:r>
      <w:bookmarkStart w:id="0" w:name="_GoBack"/>
      <w:bookmarkEnd w:id="0"/>
    </w:p>
    <w:p w:rsidR="0071080F" w:rsidRPr="00F07C7C" w:rsidRDefault="0071080F" w:rsidP="0071080F">
      <w:pPr>
        <w:jc w:val="center"/>
        <w:rPr>
          <w:b/>
          <w:bCs/>
          <w:sz w:val="24"/>
          <w:szCs w:val="24"/>
        </w:rPr>
      </w:pPr>
      <w:r w:rsidRPr="00F07C7C">
        <w:rPr>
          <w:b/>
          <w:bCs/>
          <w:sz w:val="24"/>
          <w:szCs w:val="24"/>
        </w:rPr>
        <w:t>Note for the IHP+ Steering Committee meeting 18</w:t>
      </w:r>
      <w:r w:rsidRPr="00F07C7C">
        <w:rPr>
          <w:b/>
          <w:bCs/>
          <w:sz w:val="24"/>
          <w:szCs w:val="24"/>
          <w:vertAlign w:val="superscript"/>
        </w:rPr>
        <w:t>th</w:t>
      </w:r>
      <w:r w:rsidRPr="00F07C7C">
        <w:rPr>
          <w:b/>
          <w:bCs/>
          <w:sz w:val="24"/>
          <w:szCs w:val="24"/>
        </w:rPr>
        <w:t xml:space="preserve"> November 2015</w:t>
      </w:r>
    </w:p>
    <w:p w:rsidR="00252543" w:rsidRDefault="00252543" w:rsidP="00844443">
      <w:pPr>
        <w:rPr>
          <w:u w:val="single"/>
        </w:rPr>
      </w:pPr>
      <w:r>
        <w:rPr>
          <w:u w:val="single"/>
        </w:rPr>
        <w:t>Introduction</w:t>
      </w:r>
    </w:p>
    <w:p w:rsidR="00E65537" w:rsidRPr="00B407B3" w:rsidRDefault="00E83B8C" w:rsidP="009B2013">
      <w:r w:rsidRPr="00B407B3">
        <w:t xml:space="preserve">The IHP+ Steering Committee was formed end 2013 and had its first meeting early 2014. </w:t>
      </w:r>
      <w:r w:rsidR="00736D2B">
        <w:t>At the time of its</w:t>
      </w:r>
      <w:r w:rsidR="00736D2B" w:rsidRPr="00736D2B">
        <w:t xml:space="preserve"> </w:t>
      </w:r>
      <w:r w:rsidR="00736D2B">
        <w:t>formation</w:t>
      </w:r>
      <w:r w:rsidRPr="00B407B3">
        <w:t xml:space="preserve"> the intention was to improve the</w:t>
      </w:r>
      <w:r w:rsidR="00736D2B">
        <w:t xml:space="preserve"> somewhat ad hoc</w:t>
      </w:r>
      <w:r w:rsidRPr="00B407B3">
        <w:t xml:space="preserve"> process</w:t>
      </w:r>
      <w:r w:rsidR="00736D2B">
        <w:t xml:space="preserve"> used</w:t>
      </w:r>
      <w:r w:rsidRPr="00B407B3">
        <w:t xml:space="preserve"> for the selection of country members </w:t>
      </w:r>
      <w:r w:rsidR="009B2013">
        <w:t>as well as</w:t>
      </w:r>
      <w:r w:rsidR="009B2013" w:rsidRPr="00B407B3">
        <w:t xml:space="preserve"> </w:t>
      </w:r>
      <w:r w:rsidRPr="00B407B3">
        <w:t>to</w:t>
      </w:r>
      <w:r w:rsidR="009B2013">
        <w:t xml:space="preserve"> examine the usefulness and modalities for</w:t>
      </w:r>
      <w:r w:rsidRPr="00B407B3">
        <w:t xml:space="preserve"> includ</w:t>
      </w:r>
      <w:r w:rsidR="009B2013">
        <w:t>ing</w:t>
      </w:r>
      <w:r w:rsidRPr="00B407B3">
        <w:t xml:space="preserve"> members from the private sector, both issues were to be discussed and decided by the Steering Committee</w:t>
      </w:r>
      <w:r w:rsidR="00736D2B">
        <w:t xml:space="preserve"> during its first tenure</w:t>
      </w:r>
      <w:r w:rsidRPr="00B407B3">
        <w:t>. In addition, some areas in the TOR, attached</w:t>
      </w:r>
      <w:r w:rsidR="009B2013">
        <w:t xml:space="preserve"> (Annex 1)</w:t>
      </w:r>
      <w:r w:rsidRPr="00B407B3">
        <w:t>, has been identified that need to be more precise.</w:t>
      </w:r>
    </w:p>
    <w:p w:rsidR="00844443" w:rsidRPr="00B018DE" w:rsidRDefault="001C6DA5" w:rsidP="00844443">
      <w:pPr>
        <w:rPr>
          <w:u w:val="single"/>
        </w:rPr>
      </w:pPr>
      <w:r>
        <w:rPr>
          <w:u w:val="single"/>
        </w:rPr>
        <w:t>Duration of membership for individual organizations</w:t>
      </w:r>
      <w:r w:rsidR="00844443" w:rsidRPr="00B018DE">
        <w:rPr>
          <w:u w:val="single"/>
        </w:rPr>
        <w:t>:</w:t>
      </w:r>
    </w:p>
    <w:p w:rsidR="00844443" w:rsidRDefault="00844443" w:rsidP="00736D2B">
      <w:r>
        <w:t xml:space="preserve">The </w:t>
      </w:r>
      <w:r w:rsidR="001C6DA5">
        <w:t xml:space="preserve">current TOR for </w:t>
      </w:r>
      <w:r>
        <w:t>th</w:t>
      </w:r>
      <w:r w:rsidR="00E65537">
        <w:t>e</w:t>
      </w:r>
      <w:r>
        <w:t xml:space="preserve"> Steering Committee </w:t>
      </w:r>
      <w:r w:rsidR="00736D2B">
        <w:t>s</w:t>
      </w:r>
      <w:r w:rsidR="00736D2B">
        <w:t>tate</w:t>
      </w:r>
      <w:r w:rsidR="00736D2B">
        <w:t>s</w:t>
      </w:r>
      <w:r>
        <w:t>: “</w:t>
      </w:r>
      <w:r w:rsidRPr="00844443">
        <w:t>Committee members will serve for a minimum of one year, with the possibility of a one year extension</w:t>
      </w:r>
      <w:r>
        <w:t xml:space="preserve">”. </w:t>
      </w:r>
      <w:r w:rsidR="00E83B8C">
        <w:t xml:space="preserve">With the exception of some of the multilaterals, most members have stayed the same for the </w:t>
      </w:r>
      <w:r w:rsidR="00E65537">
        <w:t xml:space="preserve">first </w:t>
      </w:r>
      <w:r w:rsidR="00E83B8C">
        <w:t xml:space="preserve">two years. </w:t>
      </w:r>
      <w:r w:rsidR="00522456">
        <w:t>It is suggested to interpret</w:t>
      </w:r>
      <w:r>
        <w:t xml:space="preserve"> th</w:t>
      </w:r>
      <w:r w:rsidR="00E83B8C">
        <w:t>e text</w:t>
      </w:r>
      <w:r>
        <w:t xml:space="preserve"> not to imply that SC members need to leave after 2 years, as this would have unintended consequences, including that a large number of </w:t>
      </w:r>
      <w:r w:rsidR="009B5FEF">
        <w:t xml:space="preserve">members </w:t>
      </w:r>
      <w:r>
        <w:t xml:space="preserve">would leave by the end of 2015. It is </w:t>
      </w:r>
      <w:r w:rsidR="00A55C75">
        <w:t xml:space="preserve">therefore proposed </w:t>
      </w:r>
      <w:r>
        <w:t xml:space="preserve">to change the text to say: </w:t>
      </w:r>
      <w:r w:rsidRPr="00844443">
        <w:t xml:space="preserve">“Committee members will serve for one year, with the possibility of </w:t>
      </w:r>
      <w:r>
        <w:t>being extended. Extensions are decided yearly with no upper limit</w:t>
      </w:r>
      <w:r w:rsidR="002660F7">
        <w:t>.</w:t>
      </w:r>
      <w:r w:rsidRPr="00844443">
        <w:t>”</w:t>
      </w:r>
    </w:p>
    <w:p w:rsidR="002660F7" w:rsidRDefault="002660F7" w:rsidP="00844443">
      <w:r>
        <w:t>The other option would be to apply a maximum limit of 2 years, or higher.</w:t>
      </w:r>
    </w:p>
    <w:p w:rsidR="00844443" w:rsidRPr="00B018DE" w:rsidRDefault="00844443" w:rsidP="00844443">
      <w:pPr>
        <w:rPr>
          <w:u w:val="single"/>
        </w:rPr>
      </w:pPr>
      <w:r w:rsidRPr="00B018DE">
        <w:rPr>
          <w:u w:val="single"/>
        </w:rPr>
        <w:t>Length of Co-chairs</w:t>
      </w:r>
      <w:r w:rsidR="006708BD">
        <w:rPr>
          <w:u w:val="single"/>
        </w:rPr>
        <w:t>’</w:t>
      </w:r>
      <w:r w:rsidRPr="00B018DE">
        <w:rPr>
          <w:u w:val="single"/>
        </w:rPr>
        <w:t xml:space="preserve"> tenure</w:t>
      </w:r>
    </w:p>
    <w:p w:rsidR="00844443" w:rsidRDefault="00844443" w:rsidP="002660F7">
      <w:r>
        <w:t>While the</w:t>
      </w:r>
      <w:r w:rsidR="00A55C75">
        <w:t xml:space="preserve"> TOR</w:t>
      </w:r>
      <w:r>
        <w:t xml:space="preserve"> text is similar to the one on SC members, there is less rationale for allowing </w:t>
      </w:r>
      <w:r w:rsidR="002660F7">
        <w:t xml:space="preserve">a limitless </w:t>
      </w:r>
      <w:r w:rsidR="00A55C75">
        <w:t>continuation;</w:t>
      </w:r>
      <w:r w:rsidR="00522456">
        <w:t xml:space="preserve"> on the contrary it could be argued that a regular change of co-chairs may be good</w:t>
      </w:r>
      <w:r w:rsidR="002660F7">
        <w:t>. It is therefore suggested to rephrase the text to say: “</w:t>
      </w:r>
      <w:r w:rsidR="002660F7" w:rsidRPr="002660F7">
        <w:t xml:space="preserve">The Co-Chairs will be selected by the Steering Committee, and will serve for one year with the possibility of </w:t>
      </w:r>
      <w:r w:rsidR="002660F7">
        <w:t>maximum</w:t>
      </w:r>
      <w:r w:rsidR="002660F7" w:rsidRPr="002660F7">
        <w:t xml:space="preserve"> one year extension.</w:t>
      </w:r>
      <w:r w:rsidR="002660F7">
        <w:t>”</w:t>
      </w:r>
    </w:p>
    <w:p w:rsidR="002660F7" w:rsidRDefault="002660F7" w:rsidP="002660F7">
      <w:r>
        <w:t>The other option would be no limit, or a higher limit.</w:t>
      </w:r>
    </w:p>
    <w:p w:rsidR="002660F7" w:rsidRPr="00B018DE" w:rsidRDefault="002660F7" w:rsidP="002660F7">
      <w:pPr>
        <w:rPr>
          <w:u w:val="single"/>
        </w:rPr>
      </w:pPr>
      <w:r w:rsidRPr="00B018DE">
        <w:rPr>
          <w:u w:val="single"/>
        </w:rPr>
        <w:t>Selection of members:</w:t>
      </w:r>
    </w:p>
    <w:p w:rsidR="00CA2585" w:rsidRDefault="002660F7" w:rsidP="00736D2B">
      <w:pPr>
        <w:spacing w:after="0"/>
      </w:pPr>
      <w:r>
        <w:t xml:space="preserve">For </w:t>
      </w:r>
      <w:r w:rsidRPr="00B018DE">
        <w:rPr>
          <w:b/>
          <w:bCs/>
        </w:rPr>
        <w:t>DPs</w:t>
      </w:r>
      <w:r>
        <w:t xml:space="preserve"> the present selection by constituencies ha</w:t>
      </w:r>
      <w:r w:rsidR="00736D2B">
        <w:t>s</w:t>
      </w:r>
      <w:r>
        <w:t xml:space="preserve"> worked well, and is proposed to be continued. This means that the bilateral DPs and the multilateral DPs will decide who will represent the two groups. </w:t>
      </w:r>
      <w:r w:rsidR="00A55C75">
        <w:t xml:space="preserve"> </w:t>
      </w:r>
    </w:p>
    <w:p w:rsidR="00736D2B" w:rsidRDefault="00A55C75" w:rsidP="00434B60">
      <w:pPr>
        <w:spacing w:after="0"/>
      </w:pPr>
      <w:r>
        <w:t xml:space="preserve">The foundations have </w:t>
      </w:r>
      <w:r w:rsidR="00E65537">
        <w:t xml:space="preserve">so far </w:t>
      </w:r>
      <w:r>
        <w:t xml:space="preserve">been included under the multilateral group. Whether this is the optimal solution, if more foundations than the present </w:t>
      </w:r>
      <w:r w:rsidR="00E65537">
        <w:t xml:space="preserve">only </w:t>
      </w:r>
      <w:r>
        <w:t>signatory</w:t>
      </w:r>
      <w:r w:rsidR="00E65537">
        <w:t>, BMGF,</w:t>
      </w:r>
      <w:r>
        <w:t xml:space="preserve"> were to join, will have to be discussed when the situation arises,</w:t>
      </w:r>
      <w:r w:rsidR="00736D2B">
        <w:t xml:space="preserve"> and</w:t>
      </w:r>
      <w:r>
        <w:t xml:space="preserve"> it is proposed that for the time being foundations remain in the multilateral group. </w:t>
      </w:r>
      <w:r w:rsidR="00CA2585">
        <w:t xml:space="preserve"> </w:t>
      </w:r>
    </w:p>
    <w:p w:rsidR="00E65537" w:rsidRDefault="00A55C75" w:rsidP="00434B60">
      <w:pPr>
        <w:spacing w:after="0"/>
      </w:pPr>
      <w:r>
        <w:t xml:space="preserve">Currently no international NGO </w:t>
      </w:r>
      <w:r w:rsidR="00CA2585">
        <w:t>is a</w:t>
      </w:r>
      <w:r>
        <w:t xml:space="preserve"> signatory to IHP+, a situation that will hopefully change </w:t>
      </w:r>
      <w:r w:rsidR="00E65537">
        <w:t>for</w:t>
      </w:r>
      <w:r>
        <w:t xml:space="preserve"> those channelling substantial resources to countries, in which case their representation will have to be decided. For both groups one possibility would be to create a separate seat.</w:t>
      </w:r>
    </w:p>
    <w:p w:rsidR="00CA2585" w:rsidRDefault="00CA2585" w:rsidP="00434B60">
      <w:pPr>
        <w:spacing w:after="0"/>
      </w:pPr>
    </w:p>
    <w:p w:rsidR="000D6396" w:rsidRDefault="002660F7" w:rsidP="00B407B3">
      <w:r>
        <w:t xml:space="preserve">For </w:t>
      </w:r>
      <w:r w:rsidRPr="00B018DE">
        <w:rPr>
          <w:b/>
          <w:bCs/>
        </w:rPr>
        <w:t>countries</w:t>
      </w:r>
      <w:r>
        <w:t xml:space="preserve"> </w:t>
      </w:r>
      <w:r w:rsidR="000D6396">
        <w:t>it is very difficult to have this large group select representatives. The current TOR says: “</w:t>
      </w:r>
      <w:r w:rsidR="000D6396" w:rsidRPr="000D6396">
        <w:t>For the country constituency, selection criteria of representatives will include geographical distribution, language balance and experience in IHP+ processes.</w:t>
      </w:r>
      <w:r w:rsidR="000D6396">
        <w:t xml:space="preserve">” It is suggested that the current criteria </w:t>
      </w:r>
      <w:r w:rsidR="00574AC8">
        <w:t>remain, but that the process becomes more transparent by the following addition to the TOR</w:t>
      </w:r>
      <w:proofErr w:type="gramStart"/>
      <w:r w:rsidR="00574AC8">
        <w:t>:</w:t>
      </w:r>
      <w:r w:rsidR="00736D2B">
        <w:t xml:space="preserve"> </w:t>
      </w:r>
      <w:r w:rsidR="00574AC8">
        <w:t>”</w:t>
      </w:r>
      <w:proofErr w:type="gramEnd"/>
      <w:r w:rsidR="00574AC8">
        <w:t>T</w:t>
      </w:r>
      <w:r w:rsidR="000D6396">
        <w:t>he Core Team will</w:t>
      </w:r>
      <w:r w:rsidR="00574AC8">
        <w:t>,</w:t>
      </w:r>
      <w:r w:rsidR="000D6396">
        <w:t xml:space="preserve"> after allowing all country signato</w:t>
      </w:r>
      <w:r w:rsidR="00B018DE">
        <w:t>ries to express interest,</w:t>
      </w:r>
      <w:r w:rsidR="00574AC8">
        <w:t xml:space="preserve"> </w:t>
      </w:r>
      <w:r w:rsidR="00B018DE">
        <w:t>suggest</w:t>
      </w:r>
      <w:r w:rsidR="000D6396">
        <w:t xml:space="preserve"> country representatives observing the </w:t>
      </w:r>
      <w:r w:rsidR="000D6396">
        <w:lastRenderedPageBreak/>
        <w:t>criteria specified above</w:t>
      </w:r>
      <w:r w:rsidR="00CA2585">
        <w:t>. T</w:t>
      </w:r>
      <w:r w:rsidR="000D6396">
        <w:t xml:space="preserve">he </w:t>
      </w:r>
      <w:r w:rsidR="00CA2585">
        <w:t xml:space="preserve">list of proposed members </w:t>
      </w:r>
      <w:r w:rsidR="000D6396">
        <w:t xml:space="preserve">will be </w:t>
      </w:r>
      <w:r w:rsidR="00E65537">
        <w:t xml:space="preserve">circulated to </w:t>
      </w:r>
      <w:r w:rsidR="000D6396">
        <w:t xml:space="preserve">the </w:t>
      </w:r>
      <w:r w:rsidR="00CA2585">
        <w:t xml:space="preserve">existing </w:t>
      </w:r>
      <w:r w:rsidR="000D6396">
        <w:t>Steering Committee</w:t>
      </w:r>
      <w:r w:rsidR="00574AC8">
        <w:t xml:space="preserve"> and considered agreed if no objections are received.</w:t>
      </w:r>
      <w:r w:rsidR="000D6396">
        <w:t>”</w:t>
      </w:r>
    </w:p>
    <w:p w:rsidR="001C6DA5" w:rsidRDefault="00B018DE" w:rsidP="00B407B3">
      <w:r>
        <w:t xml:space="preserve">For </w:t>
      </w:r>
      <w:r w:rsidRPr="00B018DE">
        <w:rPr>
          <w:b/>
          <w:bCs/>
        </w:rPr>
        <w:t>CSOs</w:t>
      </w:r>
      <w:r>
        <w:t xml:space="preserve"> the current phrasing in the TOR </w:t>
      </w:r>
      <w:r w:rsidR="00BB312B">
        <w:t>(</w:t>
      </w:r>
      <w:r w:rsidR="0006043A">
        <w:t>that the CS constituency will put forward members</w:t>
      </w:r>
      <w:r w:rsidR="00BB312B">
        <w:t>)</w:t>
      </w:r>
      <w:r w:rsidR="0006043A">
        <w:t xml:space="preserve"> </w:t>
      </w:r>
      <w:r w:rsidR="00574AC8">
        <w:t>ha</w:t>
      </w:r>
      <w:r>
        <w:t xml:space="preserve">s </w:t>
      </w:r>
      <w:r w:rsidR="00CA2585">
        <w:t xml:space="preserve">been </w:t>
      </w:r>
      <w:r>
        <w:t xml:space="preserve">taken to mean </w:t>
      </w:r>
      <w:r w:rsidR="00574AC8">
        <w:t xml:space="preserve">that </w:t>
      </w:r>
      <w:r>
        <w:t xml:space="preserve">the </w:t>
      </w:r>
      <w:r w:rsidR="0006043A">
        <w:t xml:space="preserve">IHP+ </w:t>
      </w:r>
      <w:r w:rsidR="001C6DA5">
        <w:t>Civil Soci</w:t>
      </w:r>
      <w:r w:rsidR="006708BD">
        <w:t>e</w:t>
      </w:r>
      <w:r w:rsidR="001C6DA5">
        <w:t>ty Consultative Group (</w:t>
      </w:r>
      <w:r>
        <w:t>CSCG</w:t>
      </w:r>
      <w:r w:rsidR="001C6DA5">
        <w:t>)</w:t>
      </w:r>
      <w:r w:rsidR="00574AC8">
        <w:t xml:space="preserve"> will appoint members</w:t>
      </w:r>
      <w:r>
        <w:t>.</w:t>
      </w:r>
      <w:r w:rsidR="0006043A">
        <w:t xml:space="preserve"> It is proposed that this approach should continue. </w:t>
      </w:r>
    </w:p>
    <w:p w:rsidR="000D6396" w:rsidRPr="00522456" w:rsidRDefault="000D6396" w:rsidP="000D6396">
      <w:pPr>
        <w:rPr>
          <w:u w:val="single"/>
        </w:rPr>
      </w:pPr>
      <w:r w:rsidRPr="00522456">
        <w:rPr>
          <w:u w:val="single"/>
        </w:rPr>
        <w:t>Private sector</w:t>
      </w:r>
    </w:p>
    <w:p w:rsidR="00BB312B" w:rsidRDefault="000D6396" w:rsidP="00B407B3">
      <w:r>
        <w:t>It is proposed to include two representatives of private sector</w:t>
      </w:r>
      <w:r w:rsidR="00CA2585">
        <w:t>, w</w:t>
      </w:r>
      <w:r w:rsidR="00113CD6">
        <w:t xml:space="preserve">ith at least one from </w:t>
      </w:r>
      <w:r>
        <w:t xml:space="preserve">IHP+ signatory countries. </w:t>
      </w:r>
      <w:r w:rsidR="00113CD6">
        <w:t xml:space="preserve">Preference will be given to associations of private actors, as they would represent a broader constituency, than individual actors. As the private sector is enormously diverse, and has no overall coordinating body, it is suggested that the Core Team identifies two candidates, including securing their interest, and that they are confirmed by the Steering Committee. </w:t>
      </w:r>
    </w:p>
    <w:p w:rsidR="002660F7" w:rsidRDefault="00BB312B" w:rsidP="00B407B3">
      <w:r>
        <w:t>Accordingly i</w:t>
      </w:r>
      <w:r w:rsidR="00113CD6">
        <w:t xml:space="preserve">t is </w:t>
      </w:r>
      <w:r w:rsidR="00E65537">
        <w:t>propos</w:t>
      </w:r>
      <w:r w:rsidR="00113CD6">
        <w:t>ed to amend the TOR so that the membership of the Steering Committee includes two members, and in addition add the following text: “</w:t>
      </w:r>
      <w:r w:rsidR="00B448CB">
        <w:t>T</w:t>
      </w:r>
      <w:r w:rsidR="00113CD6">
        <w:t>he IHP+ Core Team suggests two private sector representatives, these should preferably represent associations, and at least one should be from a developing country</w:t>
      </w:r>
      <w:r>
        <w:t>. T</w:t>
      </w:r>
      <w:r w:rsidR="00B448CB">
        <w:t xml:space="preserve">he Steering Committee may issue specific guidance on the selection. Private sector will in the context of IHP+ Steering Committee include non-profit private </w:t>
      </w:r>
      <w:r>
        <w:t xml:space="preserve">health </w:t>
      </w:r>
      <w:r w:rsidR="00B448CB">
        <w:t>service providers</w:t>
      </w:r>
      <w:r w:rsidR="00113CD6">
        <w:t>. The Core Team</w:t>
      </w:r>
      <w:r>
        <w:t>’</w:t>
      </w:r>
      <w:r w:rsidR="00113CD6">
        <w:t xml:space="preserve">s proposal </w:t>
      </w:r>
      <w:r w:rsidR="00113CD6" w:rsidRPr="00113CD6">
        <w:t xml:space="preserve">will be </w:t>
      </w:r>
      <w:r w:rsidR="00113CD6">
        <w:t xml:space="preserve">circulated to </w:t>
      </w:r>
      <w:r w:rsidR="00113CD6" w:rsidRPr="00113CD6">
        <w:t>the Steering Committee and considered agreed if no objections are received</w:t>
      </w:r>
      <w:r w:rsidR="00113CD6">
        <w:t>”</w:t>
      </w:r>
      <w:r w:rsidR="00113CD6" w:rsidRPr="00113CD6">
        <w:t>.</w:t>
      </w:r>
    </w:p>
    <w:p w:rsidR="00434B60" w:rsidRDefault="00E65537" w:rsidP="00434B60">
      <w:r>
        <w:t>A</w:t>
      </w:r>
      <w:r w:rsidR="00BB312B">
        <w:t xml:space="preserve"> table a</w:t>
      </w:r>
      <w:r>
        <w:t>ttached</w:t>
      </w:r>
      <w:r w:rsidR="009B2013">
        <w:t xml:space="preserve"> (Annex 2)</w:t>
      </w:r>
      <w:r>
        <w:t xml:space="preserve"> show</w:t>
      </w:r>
      <w:r w:rsidR="00BB312B">
        <w:t>s</w:t>
      </w:r>
      <w:r>
        <w:t xml:space="preserve"> possible relevance to IHP+ of different categories of private sector.</w:t>
      </w:r>
      <w:r w:rsidR="00BB312B">
        <w:t xml:space="preserve"> Based on this analysis, the Core Team proposes to start by looking for associations or networks of health service or financing providers.  </w:t>
      </w:r>
    </w:p>
    <w:p w:rsidR="00824DB9" w:rsidRDefault="00824DB9">
      <w:pPr>
        <w:rPr>
          <w:rFonts w:cstheme="minorHAnsi"/>
          <w:sz w:val="20"/>
          <w:szCs w:val="20"/>
        </w:rPr>
      </w:pPr>
      <w:r>
        <w:rPr>
          <w:rFonts w:cstheme="minorHAnsi"/>
          <w:sz w:val="20"/>
          <w:szCs w:val="20"/>
        </w:rPr>
        <w:br w:type="page"/>
      </w:r>
    </w:p>
    <w:p w:rsidR="00423413" w:rsidRPr="00423413" w:rsidRDefault="00423413" w:rsidP="00423413">
      <w:pPr>
        <w:pStyle w:val="Header"/>
        <w:tabs>
          <w:tab w:val="clear" w:pos="4513"/>
          <w:tab w:val="clear" w:pos="9026"/>
          <w:tab w:val="left" w:pos="-567"/>
        </w:tabs>
        <w:ind w:left="-426" w:hanging="141"/>
        <w:rPr>
          <w:b/>
          <w:bCs/>
        </w:rPr>
      </w:pPr>
      <w:r w:rsidRPr="00423413">
        <w:rPr>
          <w:b/>
          <w:bCs/>
        </w:rPr>
        <w:lastRenderedPageBreak/>
        <w:t>Annex 1</w:t>
      </w:r>
    </w:p>
    <w:p w:rsidR="00824DB9" w:rsidRDefault="00824DB9" w:rsidP="00824DB9">
      <w:pPr>
        <w:tabs>
          <w:tab w:val="left" w:pos="9121"/>
        </w:tabs>
        <w:autoSpaceDE w:val="0"/>
        <w:autoSpaceDN w:val="0"/>
        <w:adjustRightInd w:val="0"/>
        <w:spacing w:after="120"/>
        <w:ind w:hanging="720"/>
        <w:jc w:val="center"/>
        <w:rPr>
          <w:rFonts w:ascii="Calibri" w:hAnsi="Calibri" w:cs="TTE1BC2008t00"/>
          <w:b/>
          <w:bCs/>
          <w:spacing w:val="6"/>
          <w:sz w:val="36"/>
          <w:szCs w:val="36"/>
        </w:rPr>
      </w:pPr>
      <w:r w:rsidRPr="00386FDC">
        <w:rPr>
          <w:rFonts w:ascii="Calibri" w:hAnsi="Calibri" w:cs="TTE1BC2008t00"/>
          <w:b/>
          <w:bCs/>
          <w:spacing w:val="6"/>
          <w:sz w:val="36"/>
          <w:szCs w:val="36"/>
        </w:rPr>
        <w:t xml:space="preserve">IHP+ </w:t>
      </w:r>
      <w:r>
        <w:rPr>
          <w:rFonts w:ascii="Calibri" w:hAnsi="Calibri" w:cs="TTE1BC2008t00"/>
          <w:b/>
          <w:bCs/>
          <w:spacing w:val="6"/>
          <w:sz w:val="36"/>
          <w:szCs w:val="36"/>
        </w:rPr>
        <w:t>Steering Committee</w:t>
      </w:r>
      <w:r w:rsidRPr="00386FDC">
        <w:rPr>
          <w:rFonts w:ascii="Calibri" w:hAnsi="Calibri" w:cs="TTE1BC2008t00"/>
          <w:b/>
          <w:bCs/>
          <w:spacing w:val="6"/>
          <w:sz w:val="36"/>
          <w:szCs w:val="36"/>
        </w:rPr>
        <w:t xml:space="preserve"> </w:t>
      </w:r>
    </w:p>
    <w:p w:rsidR="00824DB9" w:rsidRPr="00386FDC" w:rsidRDefault="00824DB9" w:rsidP="00824DB9">
      <w:pPr>
        <w:tabs>
          <w:tab w:val="left" w:pos="9121"/>
        </w:tabs>
        <w:autoSpaceDE w:val="0"/>
        <w:autoSpaceDN w:val="0"/>
        <w:adjustRightInd w:val="0"/>
        <w:spacing w:after="120"/>
        <w:ind w:hanging="720"/>
        <w:jc w:val="center"/>
        <w:rPr>
          <w:rFonts w:ascii="Calibri" w:hAnsi="Calibri" w:cs="TTE1BC2008t00"/>
          <w:b/>
          <w:bCs/>
          <w:spacing w:val="6"/>
          <w:sz w:val="36"/>
          <w:szCs w:val="36"/>
        </w:rPr>
      </w:pPr>
      <w:r w:rsidRPr="00386FDC">
        <w:rPr>
          <w:rFonts w:ascii="Calibri" w:hAnsi="Calibri" w:cs="TTE1BC2008t00"/>
          <w:b/>
          <w:bCs/>
          <w:spacing w:val="6"/>
          <w:sz w:val="36"/>
          <w:szCs w:val="36"/>
        </w:rPr>
        <w:t>Terms of Reference</w:t>
      </w:r>
      <w:r>
        <w:rPr>
          <w:rFonts w:ascii="Calibri" w:hAnsi="Calibri" w:cs="TTE1BC2008t00"/>
          <w:b/>
          <w:bCs/>
          <w:spacing w:val="6"/>
          <w:sz w:val="36"/>
          <w:szCs w:val="36"/>
        </w:rPr>
        <w:t xml:space="preserve"> 16 October 2013</w:t>
      </w:r>
    </w:p>
    <w:p w:rsidR="00824DB9" w:rsidRPr="00386FDC" w:rsidRDefault="00824DB9" w:rsidP="00423413">
      <w:pPr>
        <w:tabs>
          <w:tab w:val="left" w:pos="9121"/>
        </w:tabs>
        <w:spacing w:after="120"/>
        <w:ind w:left="-426"/>
        <w:rPr>
          <w:rFonts w:ascii="Calibri" w:hAnsi="Calibri"/>
          <w:spacing w:val="6"/>
        </w:rPr>
      </w:pPr>
      <w:r w:rsidRPr="00386FDC">
        <w:rPr>
          <w:rFonts w:ascii="Calibri" w:hAnsi="Calibri"/>
          <w:spacing w:val="6"/>
        </w:rPr>
        <w:t xml:space="preserve">The IHP+ </w:t>
      </w:r>
      <w:r>
        <w:rPr>
          <w:rFonts w:ascii="Calibri" w:hAnsi="Calibri"/>
          <w:spacing w:val="6"/>
        </w:rPr>
        <w:t>Steering Committee</w:t>
      </w:r>
      <w:r w:rsidRPr="00386FDC">
        <w:rPr>
          <w:rFonts w:ascii="Calibri" w:hAnsi="Calibri"/>
          <w:spacing w:val="6"/>
        </w:rPr>
        <w:t xml:space="preserve"> will be responsible for setting overall </w:t>
      </w:r>
      <w:r>
        <w:rPr>
          <w:rFonts w:ascii="Calibri" w:hAnsi="Calibri"/>
          <w:spacing w:val="6"/>
        </w:rPr>
        <w:t>s</w:t>
      </w:r>
      <w:r w:rsidRPr="00386FDC">
        <w:rPr>
          <w:rFonts w:ascii="Calibri" w:hAnsi="Calibri"/>
          <w:spacing w:val="6"/>
        </w:rPr>
        <w:t>trategic direction</w:t>
      </w:r>
      <w:r>
        <w:rPr>
          <w:rFonts w:ascii="Calibri" w:hAnsi="Calibri"/>
          <w:spacing w:val="6"/>
        </w:rPr>
        <w:t>s</w:t>
      </w:r>
      <w:r w:rsidRPr="00386FDC">
        <w:rPr>
          <w:rFonts w:ascii="Calibri" w:hAnsi="Calibri"/>
          <w:spacing w:val="6"/>
        </w:rPr>
        <w:t xml:space="preserve"> and </w:t>
      </w:r>
      <w:r>
        <w:rPr>
          <w:rFonts w:ascii="Calibri" w:hAnsi="Calibri"/>
          <w:spacing w:val="6"/>
        </w:rPr>
        <w:t xml:space="preserve">oversight </w:t>
      </w:r>
      <w:proofErr w:type="spellStart"/>
      <w:r>
        <w:rPr>
          <w:rFonts w:ascii="Calibri" w:hAnsi="Calibri"/>
          <w:spacing w:val="6"/>
        </w:rPr>
        <w:t>ofthe</w:t>
      </w:r>
      <w:proofErr w:type="spellEnd"/>
      <w:r>
        <w:rPr>
          <w:rFonts w:ascii="Calibri" w:hAnsi="Calibri"/>
          <w:spacing w:val="6"/>
        </w:rPr>
        <w:t xml:space="preserve"> Partnership</w:t>
      </w:r>
      <w:r w:rsidRPr="00386FDC">
        <w:rPr>
          <w:rFonts w:ascii="Calibri" w:hAnsi="Calibri"/>
          <w:spacing w:val="6"/>
        </w:rPr>
        <w:t>.</w:t>
      </w:r>
    </w:p>
    <w:p w:rsidR="00824DB9" w:rsidRPr="00386FDC" w:rsidRDefault="00824DB9" w:rsidP="00824DB9">
      <w:pPr>
        <w:tabs>
          <w:tab w:val="left" w:pos="9121"/>
        </w:tabs>
        <w:autoSpaceDE w:val="0"/>
        <w:autoSpaceDN w:val="0"/>
        <w:adjustRightInd w:val="0"/>
        <w:spacing w:after="120"/>
        <w:ind w:hanging="720"/>
        <w:rPr>
          <w:rFonts w:ascii="Calibri" w:hAnsi="Calibri" w:cs="TTE1BC2008t00"/>
          <w:b/>
          <w:bCs/>
          <w:spacing w:val="6"/>
        </w:rPr>
      </w:pPr>
    </w:p>
    <w:p w:rsidR="00824DB9" w:rsidRDefault="00824DB9" w:rsidP="00824DB9">
      <w:pPr>
        <w:tabs>
          <w:tab w:val="left" w:pos="9121"/>
        </w:tabs>
        <w:autoSpaceDE w:val="0"/>
        <w:autoSpaceDN w:val="0"/>
        <w:adjustRightInd w:val="0"/>
        <w:spacing w:after="120"/>
        <w:ind w:hanging="426"/>
        <w:rPr>
          <w:rFonts w:ascii="Calibri" w:hAnsi="Calibri" w:cs="TTE1BC2008t00"/>
          <w:b/>
          <w:bCs/>
          <w:spacing w:val="6"/>
        </w:rPr>
      </w:pPr>
      <w:r w:rsidRPr="00386FDC">
        <w:rPr>
          <w:rFonts w:ascii="Calibri" w:hAnsi="Calibri" w:cs="TTE1BC2008t00"/>
          <w:b/>
          <w:bCs/>
          <w:spacing w:val="6"/>
        </w:rPr>
        <w:t>ROLES AND FUNCTIONS</w:t>
      </w:r>
    </w:p>
    <w:p w:rsidR="00824DB9" w:rsidRPr="00D17280" w:rsidRDefault="00824DB9" w:rsidP="00824DB9">
      <w:pPr>
        <w:tabs>
          <w:tab w:val="left" w:pos="9121"/>
        </w:tabs>
        <w:autoSpaceDE w:val="0"/>
        <w:autoSpaceDN w:val="0"/>
        <w:adjustRightInd w:val="0"/>
        <w:spacing w:after="120"/>
        <w:ind w:hanging="426"/>
        <w:rPr>
          <w:rFonts w:ascii="Calibri" w:hAnsi="Calibri" w:cs="TTE1BC2008t00"/>
          <w:bCs/>
          <w:spacing w:val="6"/>
        </w:rPr>
      </w:pPr>
      <w:r w:rsidRPr="00D17280">
        <w:rPr>
          <w:rFonts w:ascii="Calibri" w:hAnsi="Calibri" w:cs="TTE1BC2008t00"/>
          <w:bCs/>
          <w:spacing w:val="6"/>
        </w:rPr>
        <w:t>On behalf of all IHP+ signatories,</w:t>
      </w:r>
      <w:r>
        <w:rPr>
          <w:rFonts w:ascii="Calibri" w:hAnsi="Calibri" w:cs="TTE1BC2008t00"/>
          <w:bCs/>
          <w:spacing w:val="6"/>
        </w:rPr>
        <w:t xml:space="preserve"> whom the Committee represents</w:t>
      </w:r>
      <w:r w:rsidRPr="00D17280">
        <w:rPr>
          <w:rFonts w:ascii="Calibri" w:hAnsi="Calibri" w:cs="TTE1BC2008t00"/>
          <w:bCs/>
          <w:spacing w:val="6"/>
        </w:rPr>
        <w:t xml:space="preserve"> </w:t>
      </w:r>
    </w:p>
    <w:p w:rsidR="00824DB9" w:rsidRDefault="00824DB9" w:rsidP="00824DB9">
      <w:pPr>
        <w:numPr>
          <w:ilvl w:val="0"/>
          <w:numId w:val="6"/>
        </w:numPr>
        <w:tabs>
          <w:tab w:val="clear" w:pos="720"/>
          <w:tab w:val="left" w:pos="180"/>
          <w:tab w:val="left" w:pos="9121"/>
        </w:tabs>
        <w:spacing w:after="120" w:line="240" w:lineRule="auto"/>
        <w:ind w:left="180" w:hanging="540"/>
        <w:rPr>
          <w:rFonts w:ascii="Calibri" w:hAnsi="Calibri"/>
          <w:spacing w:val="6"/>
        </w:rPr>
      </w:pPr>
      <w:r w:rsidRPr="003B696C">
        <w:rPr>
          <w:rFonts w:ascii="Calibri" w:hAnsi="Calibri"/>
          <w:spacing w:val="6"/>
        </w:rPr>
        <w:t xml:space="preserve">To shape IHP+ directions and activities </w:t>
      </w:r>
      <w:r>
        <w:rPr>
          <w:rFonts w:ascii="Calibri" w:hAnsi="Calibri"/>
          <w:spacing w:val="6"/>
        </w:rPr>
        <w:t>and t</w:t>
      </w:r>
      <w:r w:rsidRPr="003B696C">
        <w:rPr>
          <w:rFonts w:ascii="Calibri" w:hAnsi="Calibri"/>
          <w:spacing w:val="6"/>
        </w:rPr>
        <w:t>o make significant strategy and policy decisions</w:t>
      </w:r>
      <w:r>
        <w:rPr>
          <w:rFonts w:ascii="Calibri" w:hAnsi="Calibri"/>
          <w:spacing w:val="6"/>
        </w:rPr>
        <w:t>.</w:t>
      </w:r>
    </w:p>
    <w:p w:rsidR="00824DB9" w:rsidRPr="00BB5799" w:rsidRDefault="00824DB9" w:rsidP="00824DB9">
      <w:pPr>
        <w:numPr>
          <w:ilvl w:val="0"/>
          <w:numId w:val="6"/>
        </w:numPr>
        <w:tabs>
          <w:tab w:val="clear" w:pos="720"/>
          <w:tab w:val="left" w:pos="180"/>
          <w:tab w:val="left" w:pos="9121"/>
        </w:tabs>
        <w:spacing w:after="120" w:line="240" w:lineRule="auto"/>
        <w:ind w:left="180" w:hanging="540"/>
        <w:rPr>
          <w:rFonts w:ascii="Calibri" w:hAnsi="Calibri"/>
          <w:spacing w:val="6"/>
        </w:rPr>
      </w:pPr>
      <w:r w:rsidRPr="008E263E">
        <w:rPr>
          <w:rFonts w:ascii="Calibri" w:hAnsi="Calibri"/>
          <w:spacing w:val="6"/>
        </w:rPr>
        <w:t xml:space="preserve">To approve </w:t>
      </w:r>
      <w:r w:rsidRPr="00757C33">
        <w:rPr>
          <w:rFonts w:ascii="Calibri" w:hAnsi="Calibri"/>
          <w:spacing w:val="6"/>
        </w:rPr>
        <w:t>the IHP+ work plan and budget,</w:t>
      </w:r>
      <w:r w:rsidRPr="008E263E">
        <w:rPr>
          <w:rFonts w:ascii="Calibri" w:hAnsi="Calibri"/>
          <w:spacing w:val="6"/>
        </w:rPr>
        <w:t xml:space="preserve"> </w:t>
      </w:r>
      <w:r w:rsidRPr="00757C33">
        <w:rPr>
          <w:rFonts w:ascii="Calibri" w:hAnsi="Calibri"/>
          <w:spacing w:val="6"/>
        </w:rPr>
        <w:t>oversee progress with implementation, and discuss/advise</w:t>
      </w:r>
      <w:r>
        <w:rPr>
          <w:rFonts w:ascii="Calibri" w:hAnsi="Calibri"/>
          <w:spacing w:val="6"/>
        </w:rPr>
        <w:t xml:space="preserve"> </w:t>
      </w:r>
      <w:r w:rsidRPr="00757C33">
        <w:rPr>
          <w:rFonts w:ascii="Calibri" w:hAnsi="Calibri"/>
          <w:spacing w:val="6"/>
        </w:rPr>
        <w:t xml:space="preserve">how to address problems </w:t>
      </w:r>
      <w:r>
        <w:rPr>
          <w:rFonts w:ascii="Calibri" w:hAnsi="Calibri"/>
          <w:spacing w:val="6"/>
        </w:rPr>
        <w:t xml:space="preserve">that </w:t>
      </w:r>
      <w:r w:rsidRPr="00757C33">
        <w:rPr>
          <w:rFonts w:ascii="Calibri" w:hAnsi="Calibri"/>
          <w:spacing w:val="6"/>
        </w:rPr>
        <w:t>aris</w:t>
      </w:r>
      <w:r>
        <w:rPr>
          <w:rFonts w:ascii="Calibri" w:hAnsi="Calibri"/>
          <w:spacing w:val="6"/>
        </w:rPr>
        <w:t>e</w:t>
      </w:r>
      <w:r w:rsidRPr="00757C33">
        <w:rPr>
          <w:rFonts w:ascii="Calibri" w:hAnsi="Calibri"/>
          <w:spacing w:val="6"/>
        </w:rPr>
        <w:t>.</w:t>
      </w:r>
    </w:p>
    <w:p w:rsidR="00824DB9" w:rsidRPr="00757C33" w:rsidRDefault="00824DB9" w:rsidP="00824DB9">
      <w:pPr>
        <w:numPr>
          <w:ilvl w:val="0"/>
          <w:numId w:val="6"/>
        </w:numPr>
        <w:tabs>
          <w:tab w:val="clear" w:pos="720"/>
          <w:tab w:val="left" w:pos="180"/>
          <w:tab w:val="left" w:pos="9121"/>
        </w:tabs>
        <w:spacing w:after="120" w:line="240" w:lineRule="auto"/>
        <w:ind w:left="180" w:hanging="540"/>
        <w:rPr>
          <w:rFonts w:ascii="Calibri" w:hAnsi="Calibri"/>
          <w:spacing w:val="6"/>
        </w:rPr>
      </w:pPr>
      <w:r w:rsidRPr="008E263E">
        <w:rPr>
          <w:rFonts w:ascii="Calibri" w:hAnsi="Calibri"/>
          <w:spacing w:val="6"/>
        </w:rPr>
        <w:t xml:space="preserve">To </w:t>
      </w:r>
      <w:r w:rsidRPr="002C3F22">
        <w:rPr>
          <w:rFonts w:ascii="Calibri" w:hAnsi="Calibri"/>
          <w:spacing w:val="6"/>
        </w:rPr>
        <w:t xml:space="preserve">agree terms of reference for </w:t>
      </w:r>
      <w:r>
        <w:rPr>
          <w:rFonts w:ascii="Calibri" w:hAnsi="Calibri"/>
          <w:spacing w:val="6"/>
        </w:rPr>
        <w:t>W</w:t>
      </w:r>
      <w:r w:rsidRPr="002C3F22">
        <w:rPr>
          <w:rFonts w:ascii="Calibri" w:hAnsi="Calibri"/>
          <w:spacing w:val="6"/>
        </w:rPr>
        <w:t xml:space="preserve">orking </w:t>
      </w:r>
      <w:r>
        <w:rPr>
          <w:rFonts w:ascii="Calibri" w:hAnsi="Calibri"/>
          <w:spacing w:val="6"/>
        </w:rPr>
        <w:t>G</w:t>
      </w:r>
      <w:r w:rsidRPr="002C3F22">
        <w:rPr>
          <w:rFonts w:ascii="Calibri" w:hAnsi="Calibri"/>
          <w:spacing w:val="6"/>
        </w:rPr>
        <w:t>roups, review their recommendations</w:t>
      </w:r>
      <w:r w:rsidRPr="00757C33">
        <w:rPr>
          <w:rFonts w:ascii="Calibri" w:hAnsi="Calibri"/>
          <w:spacing w:val="6"/>
        </w:rPr>
        <w:t xml:space="preserve">, and agree </w:t>
      </w:r>
      <w:r>
        <w:rPr>
          <w:rFonts w:ascii="Calibri" w:hAnsi="Calibri"/>
          <w:spacing w:val="6"/>
        </w:rPr>
        <w:t xml:space="preserve">on </w:t>
      </w:r>
      <w:r w:rsidRPr="00757C33">
        <w:rPr>
          <w:rFonts w:ascii="Calibri" w:hAnsi="Calibri"/>
          <w:spacing w:val="6"/>
        </w:rPr>
        <w:t>actions to be taken</w:t>
      </w:r>
      <w:r>
        <w:rPr>
          <w:rFonts w:ascii="Calibri" w:hAnsi="Calibri"/>
          <w:spacing w:val="6"/>
        </w:rPr>
        <w:t xml:space="preserve"> forward</w:t>
      </w:r>
      <w:r w:rsidRPr="00757C33">
        <w:rPr>
          <w:rFonts w:ascii="Calibri" w:hAnsi="Calibri"/>
          <w:spacing w:val="6"/>
        </w:rPr>
        <w:t>.</w:t>
      </w:r>
    </w:p>
    <w:p w:rsidR="00824DB9" w:rsidRPr="00386FDC" w:rsidRDefault="00824DB9" w:rsidP="00824DB9">
      <w:pPr>
        <w:numPr>
          <w:ilvl w:val="0"/>
          <w:numId w:val="6"/>
        </w:numPr>
        <w:tabs>
          <w:tab w:val="clear" w:pos="720"/>
          <w:tab w:val="left" w:pos="180"/>
          <w:tab w:val="left" w:pos="9121"/>
        </w:tabs>
        <w:spacing w:after="120" w:line="240" w:lineRule="auto"/>
        <w:ind w:left="180" w:hanging="540"/>
        <w:rPr>
          <w:rFonts w:ascii="Calibri" w:hAnsi="Calibri"/>
          <w:spacing w:val="6"/>
        </w:rPr>
      </w:pPr>
      <w:r>
        <w:rPr>
          <w:rFonts w:ascii="Calibri" w:hAnsi="Calibri"/>
          <w:spacing w:val="6"/>
        </w:rPr>
        <w:t>To e</w:t>
      </w:r>
      <w:r w:rsidRPr="00386FDC">
        <w:rPr>
          <w:rFonts w:ascii="Calibri" w:hAnsi="Calibri"/>
          <w:spacing w:val="6"/>
        </w:rPr>
        <w:t xml:space="preserve">ffect change in </w:t>
      </w:r>
      <w:r>
        <w:rPr>
          <w:rFonts w:ascii="Calibri" w:hAnsi="Calibri"/>
          <w:spacing w:val="6"/>
        </w:rPr>
        <w:t xml:space="preserve">individual </w:t>
      </w:r>
      <w:r w:rsidRPr="00386FDC">
        <w:rPr>
          <w:rFonts w:ascii="Calibri" w:hAnsi="Calibri"/>
          <w:spacing w:val="6"/>
        </w:rPr>
        <w:t xml:space="preserve">organizations </w:t>
      </w:r>
      <w:r>
        <w:rPr>
          <w:rFonts w:ascii="Calibri" w:hAnsi="Calibri"/>
          <w:spacing w:val="6"/>
        </w:rPr>
        <w:t xml:space="preserve">and associated global health partnerships, </w:t>
      </w:r>
      <w:proofErr w:type="gramStart"/>
      <w:r>
        <w:rPr>
          <w:rFonts w:ascii="Calibri" w:hAnsi="Calibri"/>
          <w:spacing w:val="6"/>
        </w:rPr>
        <w:t>by  promoting</w:t>
      </w:r>
      <w:proofErr w:type="gramEnd"/>
      <w:r w:rsidRPr="00386FDC">
        <w:rPr>
          <w:rFonts w:ascii="Calibri" w:hAnsi="Calibri"/>
          <w:spacing w:val="6"/>
        </w:rPr>
        <w:t xml:space="preserve"> </w:t>
      </w:r>
      <w:r>
        <w:rPr>
          <w:rFonts w:ascii="Calibri" w:hAnsi="Calibri"/>
          <w:spacing w:val="6"/>
        </w:rPr>
        <w:t xml:space="preserve">the </w:t>
      </w:r>
      <w:r w:rsidRPr="00386FDC">
        <w:rPr>
          <w:rFonts w:ascii="Calibri" w:hAnsi="Calibri"/>
          <w:spacing w:val="6"/>
        </w:rPr>
        <w:t>adopt</w:t>
      </w:r>
      <w:r>
        <w:rPr>
          <w:rFonts w:ascii="Calibri" w:hAnsi="Calibri"/>
          <w:spacing w:val="6"/>
        </w:rPr>
        <w:t>ion of</w:t>
      </w:r>
      <w:r w:rsidRPr="00386FDC">
        <w:rPr>
          <w:rFonts w:ascii="Calibri" w:hAnsi="Calibri"/>
          <w:spacing w:val="6"/>
        </w:rPr>
        <w:t xml:space="preserve"> IHP+ principles and recommendations. </w:t>
      </w:r>
    </w:p>
    <w:p w:rsidR="00824DB9" w:rsidRPr="00386FDC" w:rsidRDefault="00824DB9" w:rsidP="00824DB9">
      <w:pPr>
        <w:numPr>
          <w:ilvl w:val="0"/>
          <w:numId w:val="6"/>
        </w:numPr>
        <w:tabs>
          <w:tab w:val="clear" w:pos="720"/>
          <w:tab w:val="left" w:pos="180"/>
          <w:tab w:val="left" w:pos="9121"/>
        </w:tabs>
        <w:spacing w:after="120" w:line="240" w:lineRule="auto"/>
        <w:ind w:left="180" w:hanging="540"/>
        <w:rPr>
          <w:rFonts w:ascii="Calibri" w:hAnsi="Calibri"/>
          <w:spacing w:val="6"/>
        </w:rPr>
      </w:pPr>
      <w:r>
        <w:rPr>
          <w:rFonts w:ascii="Calibri" w:hAnsi="Calibri"/>
          <w:spacing w:val="6"/>
        </w:rPr>
        <w:t>To p</w:t>
      </w:r>
      <w:r w:rsidRPr="00386FDC">
        <w:rPr>
          <w:rFonts w:ascii="Calibri" w:hAnsi="Calibri"/>
          <w:spacing w:val="6"/>
        </w:rPr>
        <w:t xml:space="preserve">rovide a forum for mutual accountability </w:t>
      </w:r>
      <w:r>
        <w:rPr>
          <w:rFonts w:ascii="Calibri" w:hAnsi="Calibri"/>
          <w:spacing w:val="6"/>
        </w:rPr>
        <w:t>for results among</w:t>
      </w:r>
      <w:r w:rsidRPr="00386FDC">
        <w:rPr>
          <w:rFonts w:ascii="Calibri" w:hAnsi="Calibri"/>
          <w:spacing w:val="6"/>
        </w:rPr>
        <w:t xml:space="preserve"> IHP+ members</w:t>
      </w:r>
      <w:r>
        <w:rPr>
          <w:rFonts w:ascii="Calibri" w:hAnsi="Calibri"/>
          <w:spacing w:val="6"/>
        </w:rPr>
        <w:t>.</w:t>
      </w:r>
    </w:p>
    <w:p w:rsidR="00824DB9" w:rsidRPr="00386FDC" w:rsidRDefault="00824DB9" w:rsidP="00824DB9">
      <w:pPr>
        <w:tabs>
          <w:tab w:val="left" w:pos="9121"/>
        </w:tabs>
        <w:spacing w:after="120"/>
        <w:ind w:hanging="720"/>
        <w:rPr>
          <w:rFonts w:ascii="Calibri" w:hAnsi="Calibri"/>
          <w:b/>
          <w:bCs/>
          <w:spacing w:val="6"/>
        </w:rPr>
      </w:pPr>
    </w:p>
    <w:p w:rsidR="00824DB9" w:rsidRPr="00386FDC" w:rsidRDefault="00824DB9" w:rsidP="00423413">
      <w:pPr>
        <w:tabs>
          <w:tab w:val="left" w:pos="9121"/>
        </w:tabs>
        <w:autoSpaceDE w:val="0"/>
        <w:autoSpaceDN w:val="0"/>
        <w:adjustRightInd w:val="0"/>
        <w:spacing w:after="120"/>
        <w:ind w:hanging="426"/>
        <w:rPr>
          <w:rFonts w:ascii="Calibri" w:hAnsi="Calibri" w:cs="TTE1BC2008t00"/>
          <w:b/>
          <w:bCs/>
          <w:spacing w:val="6"/>
        </w:rPr>
      </w:pPr>
      <w:r w:rsidRPr="00386FDC">
        <w:rPr>
          <w:rFonts w:ascii="Calibri" w:hAnsi="Calibri" w:cs="TTE1BC2008t00"/>
          <w:b/>
          <w:bCs/>
          <w:spacing w:val="6"/>
        </w:rPr>
        <w:t>INTERNAL ORGANIZATION</w:t>
      </w:r>
    </w:p>
    <w:p w:rsidR="00824DB9" w:rsidRDefault="00824DB9" w:rsidP="00824DB9">
      <w:pPr>
        <w:numPr>
          <w:ilvl w:val="0"/>
          <w:numId w:val="7"/>
        </w:numPr>
        <w:tabs>
          <w:tab w:val="clear" w:pos="720"/>
          <w:tab w:val="num" w:pos="180"/>
          <w:tab w:val="left" w:pos="9121"/>
        </w:tabs>
        <w:spacing w:after="120" w:line="240" w:lineRule="auto"/>
        <w:ind w:left="180" w:hanging="540"/>
        <w:rPr>
          <w:rFonts w:ascii="Calibri" w:hAnsi="Calibri"/>
          <w:spacing w:val="6"/>
        </w:rPr>
      </w:pPr>
      <w:r>
        <w:rPr>
          <w:rFonts w:ascii="Calibri" w:hAnsi="Calibri"/>
          <w:spacing w:val="6"/>
        </w:rPr>
        <w:t>The Committee will consist of 16 members who represent the different constituencies in the Partnership. Six members will be from partner countries; four from multilateral agencies</w:t>
      </w:r>
      <w:r>
        <w:rPr>
          <w:rStyle w:val="FootnoteReference"/>
          <w:rFonts w:ascii="Calibri" w:hAnsi="Calibri"/>
          <w:spacing w:val="6"/>
        </w:rPr>
        <w:footnoteReference w:id="1"/>
      </w:r>
      <w:r>
        <w:rPr>
          <w:rFonts w:ascii="Calibri" w:hAnsi="Calibri"/>
          <w:spacing w:val="6"/>
        </w:rPr>
        <w:t xml:space="preserve">; four from bilateral agencies and two from civil society. </w:t>
      </w:r>
    </w:p>
    <w:p w:rsidR="00824DB9" w:rsidRPr="00CE6F20" w:rsidRDefault="00824DB9" w:rsidP="00824DB9">
      <w:pPr>
        <w:numPr>
          <w:ilvl w:val="0"/>
          <w:numId w:val="7"/>
        </w:numPr>
        <w:tabs>
          <w:tab w:val="clear" w:pos="720"/>
          <w:tab w:val="num" w:pos="180"/>
          <w:tab w:val="left" w:pos="9121"/>
        </w:tabs>
        <w:spacing w:after="120" w:line="240" w:lineRule="auto"/>
        <w:ind w:left="180" w:hanging="540"/>
        <w:rPr>
          <w:rFonts w:ascii="Calibri" w:hAnsi="Calibri"/>
          <w:spacing w:val="6"/>
        </w:rPr>
      </w:pPr>
      <w:r w:rsidRPr="00CE6F20">
        <w:rPr>
          <w:rFonts w:ascii="Calibri" w:hAnsi="Calibri"/>
          <w:spacing w:val="6"/>
        </w:rPr>
        <w:t>Representatives are selected through a transparent process. For the multilateral agenc</w:t>
      </w:r>
      <w:r>
        <w:rPr>
          <w:rFonts w:ascii="Calibri" w:hAnsi="Calibri"/>
          <w:spacing w:val="6"/>
        </w:rPr>
        <w:t>ies</w:t>
      </w:r>
      <w:r w:rsidRPr="00CE6F20">
        <w:rPr>
          <w:rFonts w:ascii="Calibri" w:hAnsi="Calibri"/>
          <w:spacing w:val="6"/>
        </w:rPr>
        <w:t xml:space="preserve">, bilateral agency and civil society constituencies, </w:t>
      </w:r>
      <w:r w:rsidRPr="008473B9">
        <w:rPr>
          <w:rFonts w:ascii="Calibri" w:hAnsi="Calibri" w:cs="Calibri"/>
        </w:rPr>
        <w:t xml:space="preserve">each group will put forward </w:t>
      </w:r>
      <w:r>
        <w:rPr>
          <w:rFonts w:ascii="Calibri" w:hAnsi="Calibri" w:cs="Calibri"/>
        </w:rPr>
        <w:t>a</w:t>
      </w:r>
      <w:r w:rsidRPr="008473B9">
        <w:rPr>
          <w:rFonts w:ascii="Calibri" w:hAnsi="Calibri" w:cs="Calibri"/>
        </w:rPr>
        <w:t xml:space="preserve"> representative(s). For the country constituency, selection criteria of representatives will include geographical distribution, language balance and experience in IHP+ processes.</w:t>
      </w:r>
      <w:r w:rsidRPr="00CE6F20">
        <w:rPr>
          <w:rFonts w:ascii="Calibri" w:hAnsi="Calibri"/>
          <w:spacing w:val="6"/>
        </w:rPr>
        <w:t xml:space="preserve">   </w:t>
      </w:r>
    </w:p>
    <w:p w:rsidR="00824DB9" w:rsidRPr="00386FDC" w:rsidRDefault="00824DB9" w:rsidP="00824DB9">
      <w:pPr>
        <w:numPr>
          <w:ilvl w:val="0"/>
          <w:numId w:val="7"/>
        </w:numPr>
        <w:tabs>
          <w:tab w:val="clear" w:pos="720"/>
          <w:tab w:val="num" w:pos="180"/>
          <w:tab w:val="left" w:pos="9121"/>
        </w:tabs>
        <w:spacing w:after="120" w:line="240" w:lineRule="auto"/>
        <w:ind w:left="180" w:hanging="540"/>
        <w:rPr>
          <w:rFonts w:ascii="Calibri" w:hAnsi="Calibri"/>
          <w:spacing w:val="6"/>
        </w:rPr>
      </w:pPr>
      <w:r>
        <w:rPr>
          <w:rFonts w:ascii="Calibri" w:hAnsi="Calibri"/>
          <w:spacing w:val="6"/>
        </w:rPr>
        <w:t>Committee members will serve for a minimum of one year, with the possibility of a one year extension.</w:t>
      </w:r>
    </w:p>
    <w:p w:rsidR="00824DB9" w:rsidRPr="00386FDC" w:rsidRDefault="00824DB9" w:rsidP="00824DB9">
      <w:pPr>
        <w:numPr>
          <w:ilvl w:val="0"/>
          <w:numId w:val="7"/>
        </w:numPr>
        <w:tabs>
          <w:tab w:val="clear" w:pos="720"/>
          <w:tab w:val="num" w:pos="180"/>
          <w:tab w:val="left" w:pos="9121"/>
        </w:tabs>
        <w:spacing w:after="120" w:line="240" w:lineRule="auto"/>
        <w:ind w:left="180" w:hanging="540"/>
        <w:rPr>
          <w:rFonts w:ascii="Calibri" w:hAnsi="Calibri"/>
          <w:spacing w:val="6"/>
        </w:rPr>
      </w:pPr>
      <w:r>
        <w:rPr>
          <w:rFonts w:ascii="Calibri" w:hAnsi="Calibri"/>
          <w:spacing w:val="6"/>
        </w:rPr>
        <w:t xml:space="preserve">Members </w:t>
      </w:r>
      <w:r w:rsidRPr="00386FDC">
        <w:rPr>
          <w:rFonts w:ascii="Calibri" w:hAnsi="Calibri"/>
          <w:spacing w:val="6"/>
        </w:rPr>
        <w:t>will be of sufficient seniority to be able to represent the</w:t>
      </w:r>
      <w:r>
        <w:rPr>
          <w:rFonts w:ascii="Calibri" w:hAnsi="Calibri"/>
          <w:spacing w:val="6"/>
        </w:rPr>
        <w:t xml:space="preserve">ir </w:t>
      </w:r>
      <w:r w:rsidRPr="00386FDC">
        <w:rPr>
          <w:rFonts w:ascii="Calibri" w:hAnsi="Calibri"/>
          <w:spacing w:val="6"/>
        </w:rPr>
        <w:t>constituency</w:t>
      </w:r>
      <w:r>
        <w:rPr>
          <w:rFonts w:ascii="Calibri" w:hAnsi="Calibri"/>
          <w:spacing w:val="6"/>
        </w:rPr>
        <w:t>,</w:t>
      </w:r>
      <w:r w:rsidRPr="00386FDC">
        <w:rPr>
          <w:rFonts w:ascii="Calibri" w:hAnsi="Calibri"/>
          <w:spacing w:val="6"/>
        </w:rPr>
        <w:t xml:space="preserve"> and influence </w:t>
      </w:r>
      <w:r>
        <w:rPr>
          <w:rFonts w:ascii="Calibri" w:hAnsi="Calibri"/>
          <w:spacing w:val="6"/>
        </w:rPr>
        <w:t xml:space="preserve">subsequent </w:t>
      </w:r>
      <w:r w:rsidRPr="00386FDC">
        <w:rPr>
          <w:rFonts w:ascii="Calibri" w:hAnsi="Calibri"/>
          <w:spacing w:val="6"/>
        </w:rPr>
        <w:t xml:space="preserve">dialogue </w:t>
      </w:r>
      <w:r>
        <w:rPr>
          <w:rFonts w:ascii="Calibri" w:hAnsi="Calibri"/>
          <w:spacing w:val="6"/>
        </w:rPr>
        <w:t xml:space="preserve">and action </w:t>
      </w:r>
      <w:r w:rsidRPr="00386FDC">
        <w:rPr>
          <w:rFonts w:ascii="Calibri" w:hAnsi="Calibri"/>
          <w:spacing w:val="6"/>
        </w:rPr>
        <w:t xml:space="preserve">related to IHP+ recommendations. </w:t>
      </w:r>
    </w:p>
    <w:p w:rsidR="00824DB9" w:rsidRPr="00386FDC" w:rsidRDefault="00824DB9" w:rsidP="00824DB9">
      <w:pPr>
        <w:numPr>
          <w:ilvl w:val="0"/>
          <w:numId w:val="7"/>
        </w:numPr>
        <w:tabs>
          <w:tab w:val="clear" w:pos="720"/>
          <w:tab w:val="num" w:pos="180"/>
          <w:tab w:val="left" w:pos="9121"/>
        </w:tabs>
        <w:spacing w:after="120" w:line="240" w:lineRule="auto"/>
        <w:ind w:left="180" w:hanging="540"/>
        <w:rPr>
          <w:rFonts w:ascii="Calibri" w:hAnsi="Calibri"/>
          <w:spacing w:val="6"/>
        </w:rPr>
      </w:pPr>
      <w:r w:rsidRPr="00386FDC">
        <w:rPr>
          <w:rFonts w:ascii="Calibri" w:hAnsi="Calibri"/>
          <w:spacing w:val="6"/>
        </w:rPr>
        <w:t xml:space="preserve">The </w:t>
      </w:r>
      <w:r>
        <w:rPr>
          <w:rFonts w:ascii="Calibri" w:hAnsi="Calibri"/>
          <w:spacing w:val="6"/>
        </w:rPr>
        <w:t>Steering Committee</w:t>
      </w:r>
      <w:r w:rsidRPr="00386FDC">
        <w:rPr>
          <w:rFonts w:ascii="Calibri" w:hAnsi="Calibri"/>
          <w:spacing w:val="6"/>
        </w:rPr>
        <w:t xml:space="preserve"> will meet twice per year</w:t>
      </w:r>
      <w:r>
        <w:rPr>
          <w:rFonts w:ascii="Calibri" w:hAnsi="Calibri"/>
          <w:spacing w:val="6"/>
        </w:rPr>
        <w:t xml:space="preserve">, with one meeting being </w:t>
      </w:r>
      <w:r w:rsidRPr="00386FDC">
        <w:rPr>
          <w:rFonts w:ascii="Calibri" w:hAnsi="Calibri"/>
          <w:spacing w:val="6"/>
        </w:rPr>
        <w:t xml:space="preserve">face-to-face.  Additional sessions will be organized if issues arise that require discussion by </w:t>
      </w:r>
      <w:r>
        <w:rPr>
          <w:rFonts w:ascii="Calibri" w:hAnsi="Calibri"/>
          <w:spacing w:val="6"/>
        </w:rPr>
        <w:t>the Committee</w:t>
      </w:r>
      <w:r w:rsidRPr="00386FDC">
        <w:rPr>
          <w:rFonts w:ascii="Calibri" w:hAnsi="Calibri"/>
          <w:spacing w:val="6"/>
        </w:rPr>
        <w:t>.</w:t>
      </w:r>
    </w:p>
    <w:p w:rsidR="00824DB9" w:rsidRDefault="00824DB9" w:rsidP="00824DB9">
      <w:pPr>
        <w:numPr>
          <w:ilvl w:val="0"/>
          <w:numId w:val="7"/>
        </w:numPr>
        <w:tabs>
          <w:tab w:val="clear" w:pos="720"/>
          <w:tab w:val="num" w:pos="180"/>
          <w:tab w:val="left" w:pos="9121"/>
        </w:tabs>
        <w:autoSpaceDE w:val="0"/>
        <w:autoSpaceDN w:val="0"/>
        <w:adjustRightInd w:val="0"/>
        <w:spacing w:after="120" w:line="240" w:lineRule="auto"/>
        <w:ind w:left="180" w:hanging="540"/>
        <w:rPr>
          <w:rFonts w:ascii="Calibri" w:hAnsi="Calibri" w:cs="TTE1BC2008t00"/>
          <w:spacing w:val="6"/>
        </w:rPr>
      </w:pPr>
      <w:r w:rsidRPr="00386FDC">
        <w:rPr>
          <w:rFonts w:ascii="Calibri" w:hAnsi="Calibri" w:cs="TTE1BC2008t00"/>
          <w:spacing w:val="6"/>
        </w:rPr>
        <w:t>Meetings will be co-chaired</w:t>
      </w:r>
      <w:r>
        <w:rPr>
          <w:rFonts w:ascii="Calibri" w:hAnsi="Calibri" w:cs="TTE1BC2008t00"/>
          <w:spacing w:val="6"/>
        </w:rPr>
        <w:t xml:space="preserve"> by one country partner and one international development partner</w:t>
      </w:r>
      <w:r w:rsidRPr="00386FDC">
        <w:rPr>
          <w:rFonts w:ascii="Calibri" w:hAnsi="Calibri" w:cs="TTE1BC2008t00"/>
          <w:spacing w:val="6"/>
        </w:rPr>
        <w:t xml:space="preserve">. </w:t>
      </w:r>
      <w:r>
        <w:rPr>
          <w:rFonts w:ascii="Calibri" w:hAnsi="Calibri" w:cs="TTE1BC2008t00"/>
          <w:spacing w:val="6"/>
        </w:rPr>
        <w:t>The Co-Chairs will be selected by the Steering Committee, and will serve for one year with the possibility of a one year extension.</w:t>
      </w:r>
    </w:p>
    <w:p w:rsidR="00824DB9" w:rsidRPr="00386FDC" w:rsidRDefault="00824DB9" w:rsidP="00824DB9">
      <w:pPr>
        <w:numPr>
          <w:ilvl w:val="0"/>
          <w:numId w:val="7"/>
        </w:numPr>
        <w:tabs>
          <w:tab w:val="clear" w:pos="720"/>
          <w:tab w:val="num" w:pos="180"/>
          <w:tab w:val="left" w:pos="9121"/>
        </w:tabs>
        <w:autoSpaceDE w:val="0"/>
        <w:autoSpaceDN w:val="0"/>
        <w:adjustRightInd w:val="0"/>
        <w:spacing w:after="120" w:line="240" w:lineRule="auto"/>
        <w:ind w:left="180" w:hanging="540"/>
        <w:rPr>
          <w:rFonts w:ascii="Calibri" w:hAnsi="Calibri" w:cs="TTE1BC2008t00"/>
          <w:spacing w:val="6"/>
        </w:rPr>
      </w:pPr>
      <w:r w:rsidRPr="00386FDC">
        <w:rPr>
          <w:rFonts w:ascii="Calibri" w:hAnsi="Calibri" w:cs="TTE1BC2008t00"/>
          <w:spacing w:val="6"/>
        </w:rPr>
        <w:t>Decisions will be taken by consensus.</w:t>
      </w:r>
    </w:p>
    <w:p w:rsidR="00824DB9" w:rsidRPr="00386FDC" w:rsidRDefault="00824DB9" w:rsidP="00824DB9">
      <w:pPr>
        <w:numPr>
          <w:ilvl w:val="0"/>
          <w:numId w:val="7"/>
        </w:numPr>
        <w:tabs>
          <w:tab w:val="clear" w:pos="720"/>
          <w:tab w:val="num" w:pos="180"/>
          <w:tab w:val="left" w:pos="9121"/>
        </w:tabs>
        <w:spacing w:after="120" w:line="240" w:lineRule="auto"/>
        <w:ind w:left="180" w:hanging="540"/>
        <w:rPr>
          <w:rFonts w:ascii="Calibri" w:hAnsi="Calibri"/>
          <w:spacing w:val="6"/>
        </w:rPr>
      </w:pPr>
      <w:r w:rsidRPr="00386FDC">
        <w:rPr>
          <w:rFonts w:ascii="Calibri" w:hAnsi="Calibri"/>
          <w:spacing w:val="6"/>
        </w:rPr>
        <w:t xml:space="preserve">Meetings will have clear objectives and points for decision. </w:t>
      </w:r>
      <w:r>
        <w:rPr>
          <w:rFonts w:ascii="Calibri" w:hAnsi="Calibri"/>
          <w:spacing w:val="6"/>
        </w:rPr>
        <w:t xml:space="preserve">The agenda will be prepared by the Core Team in consultation with the Reference Group and approved by the Steering Committee Co-Chairs. </w:t>
      </w:r>
      <w:r w:rsidRPr="00386FDC">
        <w:rPr>
          <w:rFonts w:ascii="Calibri" w:hAnsi="Calibri"/>
          <w:spacing w:val="6"/>
        </w:rPr>
        <w:t xml:space="preserve">Materials will be distributed </w:t>
      </w:r>
      <w:r>
        <w:rPr>
          <w:rFonts w:ascii="Calibri" w:hAnsi="Calibri"/>
          <w:spacing w:val="6"/>
        </w:rPr>
        <w:t xml:space="preserve">by the Core Team </w:t>
      </w:r>
      <w:r w:rsidRPr="00386FDC">
        <w:rPr>
          <w:rFonts w:ascii="Calibri" w:hAnsi="Calibri"/>
          <w:spacing w:val="6"/>
        </w:rPr>
        <w:t>3 weeks in advance. Comments and suggestions may be submitted by email before the meeting, during or after the meeting</w:t>
      </w:r>
      <w:r>
        <w:rPr>
          <w:rFonts w:ascii="Calibri" w:hAnsi="Calibri"/>
          <w:spacing w:val="6"/>
        </w:rPr>
        <w:t>.</w:t>
      </w:r>
    </w:p>
    <w:p w:rsidR="00423413" w:rsidRPr="00964A12" w:rsidRDefault="00824DB9" w:rsidP="00964A12">
      <w:pPr>
        <w:numPr>
          <w:ilvl w:val="0"/>
          <w:numId w:val="7"/>
        </w:numPr>
        <w:tabs>
          <w:tab w:val="clear" w:pos="720"/>
          <w:tab w:val="num" w:pos="180"/>
          <w:tab w:val="left" w:pos="9121"/>
        </w:tabs>
        <w:spacing w:after="120" w:line="240" w:lineRule="auto"/>
        <w:ind w:left="180" w:hanging="540"/>
        <w:rPr>
          <w:rFonts w:ascii="Calibri" w:hAnsi="Calibri"/>
          <w:spacing w:val="6"/>
        </w:rPr>
      </w:pPr>
      <w:r w:rsidRPr="00964A12">
        <w:rPr>
          <w:rFonts w:ascii="Calibri" w:hAnsi="Calibri"/>
          <w:spacing w:val="6"/>
        </w:rPr>
        <w:t>Actions and next steps will be communicated by the Core Team within 2 weeks of each meeting to all IHP+ signatories.</w:t>
      </w:r>
      <w:r w:rsidR="00423413" w:rsidRPr="00964A12">
        <w:rPr>
          <w:rFonts w:ascii="Calibri" w:hAnsi="Calibri"/>
          <w:spacing w:val="6"/>
        </w:rPr>
        <w:br w:type="page"/>
      </w:r>
    </w:p>
    <w:p w:rsidR="00824DB9" w:rsidRDefault="00423413" w:rsidP="00423413">
      <w:pPr>
        <w:pStyle w:val="Header"/>
        <w:tabs>
          <w:tab w:val="clear" w:pos="4513"/>
          <w:tab w:val="clear" w:pos="9026"/>
          <w:tab w:val="left" w:pos="-567"/>
        </w:tabs>
        <w:ind w:left="-426" w:hanging="141"/>
        <w:rPr>
          <w:b/>
          <w:bCs/>
        </w:rPr>
      </w:pPr>
      <w:r>
        <w:rPr>
          <w:b/>
          <w:bCs/>
        </w:rPr>
        <w:lastRenderedPageBreak/>
        <w:t>Annex 2</w:t>
      </w:r>
    </w:p>
    <w:p w:rsidR="00423413" w:rsidRDefault="00423413" w:rsidP="00423413">
      <w:pPr>
        <w:pStyle w:val="Header"/>
        <w:tabs>
          <w:tab w:val="clear" w:pos="4513"/>
          <w:tab w:val="clear" w:pos="9026"/>
          <w:tab w:val="left" w:pos="-567"/>
        </w:tabs>
        <w:ind w:left="-426" w:hanging="141"/>
        <w:rPr>
          <w:b/>
          <w:bCs/>
        </w:rPr>
      </w:pPr>
    </w:p>
    <w:p w:rsidR="00423413" w:rsidRPr="00423413" w:rsidRDefault="00423413" w:rsidP="00423413">
      <w:pPr>
        <w:pStyle w:val="Heading2"/>
        <w:spacing w:before="0" w:line="240" w:lineRule="auto"/>
        <w:ind w:hanging="567"/>
        <w:rPr>
          <w:color w:val="auto"/>
        </w:rPr>
      </w:pPr>
      <w:r w:rsidRPr="00423413">
        <w:rPr>
          <w:rFonts w:asciiTheme="minorHAnsi" w:hAnsiTheme="minorHAnsi" w:cstheme="minorHAnsi"/>
          <w:color w:val="auto"/>
          <w:sz w:val="22"/>
          <w:szCs w:val="22"/>
          <w:lang w:val="en-US"/>
        </w:rPr>
        <w:t>Which private sector entities should IHP+ target?</w:t>
      </w:r>
    </w:p>
    <w:tbl>
      <w:tblPr>
        <w:tblpPr w:leftFromText="180" w:rightFromText="180" w:vertAnchor="text" w:horzAnchor="margin" w:tblpX="-608" w:tblpY="179"/>
        <w:tblW w:w="5288" w:type="pct"/>
        <w:tblCellMar>
          <w:left w:w="0" w:type="dxa"/>
          <w:right w:w="0" w:type="dxa"/>
        </w:tblCellMar>
        <w:tblLook w:val="04A0" w:firstRow="1" w:lastRow="0" w:firstColumn="1" w:lastColumn="0" w:noHBand="0" w:noVBand="1"/>
      </w:tblPr>
      <w:tblGrid>
        <w:gridCol w:w="2868"/>
        <w:gridCol w:w="2979"/>
        <w:gridCol w:w="1420"/>
        <w:gridCol w:w="1700"/>
        <w:gridCol w:w="1276"/>
      </w:tblGrid>
      <w:tr w:rsidR="00423413" w:rsidRPr="00434B60" w:rsidTr="00430DD0">
        <w:trPr>
          <w:trHeight w:val="675"/>
          <w:tblHeader/>
        </w:trPr>
        <w:tc>
          <w:tcPr>
            <w:tcW w:w="1400" w:type="pct"/>
            <w:tcBorders>
              <w:top w:val="single" w:sz="8" w:space="0" w:color="000000"/>
              <w:left w:val="single" w:sz="8" w:space="0" w:color="000000"/>
              <w:bottom w:val="single" w:sz="8" w:space="0" w:color="000000"/>
              <w:right w:val="single" w:sz="8" w:space="0" w:color="000000"/>
            </w:tcBorders>
            <w:shd w:val="clear" w:color="auto" w:fill="4F81BD"/>
            <w:tcMar>
              <w:top w:w="15" w:type="dxa"/>
              <w:left w:w="34" w:type="dxa"/>
              <w:bottom w:w="0" w:type="dxa"/>
              <w:right w:w="34" w:type="dxa"/>
            </w:tcMar>
            <w:hideMark/>
          </w:tcPr>
          <w:p w:rsidR="00423413" w:rsidRPr="00434B60" w:rsidRDefault="00423413" w:rsidP="00430DD0">
            <w:pPr>
              <w:spacing w:after="0" w:line="240" w:lineRule="auto"/>
              <w:jc w:val="center"/>
              <w:rPr>
                <w:rFonts w:eastAsia="Times New Roman" w:cstheme="minorHAnsi"/>
              </w:rPr>
            </w:pPr>
            <w:r w:rsidRPr="00434B60">
              <w:rPr>
                <w:rFonts w:eastAsia="Times New Roman" w:cstheme="minorHAnsi"/>
                <w:b/>
                <w:bCs/>
                <w:color w:val="FFFFFF"/>
                <w:kern w:val="24"/>
              </w:rPr>
              <w:t>Component/ role of private sector</w:t>
            </w:r>
          </w:p>
        </w:tc>
        <w:tc>
          <w:tcPr>
            <w:tcW w:w="1454" w:type="pct"/>
            <w:tcBorders>
              <w:top w:val="single" w:sz="8" w:space="0" w:color="000000"/>
              <w:left w:val="single" w:sz="8" w:space="0" w:color="000000"/>
              <w:bottom w:val="single" w:sz="8" w:space="0" w:color="000000"/>
              <w:right w:val="single" w:sz="8" w:space="0" w:color="000000"/>
            </w:tcBorders>
            <w:shd w:val="clear" w:color="auto" w:fill="4F81BD"/>
            <w:tcMar>
              <w:top w:w="15" w:type="dxa"/>
              <w:left w:w="34" w:type="dxa"/>
              <w:bottom w:w="0" w:type="dxa"/>
              <w:right w:w="34" w:type="dxa"/>
            </w:tcMar>
            <w:hideMark/>
          </w:tcPr>
          <w:p w:rsidR="00423413" w:rsidRPr="00434B60" w:rsidRDefault="00423413" w:rsidP="00430DD0">
            <w:pPr>
              <w:spacing w:after="0" w:line="240" w:lineRule="auto"/>
              <w:jc w:val="center"/>
              <w:rPr>
                <w:rFonts w:eastAsia="Times New Roman" w:cstheme="minorHAnsi"/>
              </w:rPr>
            </w:pPr>
            <w:r w:rsidRPr="00434B60">
              <w:rPr>
                <w:rFonts w:eastAsia="Times New Roman" w:cstheme="minorHAnsi"/>
                <w:b/>
                <w:bCs/>
                <w:color w:val="FFFFFF"/>
                <w:kern w:val="24"/>
              </w:rPr>
              <w:t>Interests in health sector and EDC for health</w:t>
            </w:r>
          </w:p>
        </w:tc>
        <w:tc>
          <w:tcPr>
            <w:tcW w:w="693" w:type="pct"/>
            <w:tcBorders>
              <w:top w:val="single" w:sz="8" w:space="0" w:color="000000"/>
              <w:left w:val="single" w:sz="8" w:space="0" w:color="000000"/>
              <w:bottom w:val="single" w:sz="8" w:space="0" w:color="000000"/>
              <w:right w:val="single" w:sz="8" w:space="0" w:color="000000"/>
            </w:tcBorders>
            <w:shd w:val="clear" w:color="auto" w:fill="4F81BD"/>
            <w:tcMar>
              <w:top w:w="15" w:type="dxa"/>
              <w:left w:w="34" w:type="dxa"/>
              <w:bottom w:w="0" w:type="dxa"/>
              <w:right w:w="34" w:type="dxa"/>
            </w:tcMar>
            <w:hideMark/>
          </w:tcPr>
          <w:p w:rsidR="00423413" w:rsidRPr="00434B60" w:rsidRDefault="00423413" w:rsidP="00430DD0">
            <w:pPr>
              <w:spacing w:after="0" w:line="240" w:lineRule="auto"/>
              <w:jc w:val="center"/>
              <w:rPr>
                <w:rFonts w:eastAsia="Times New Roman" w:cstheme="minorHAnsi"/>
              </w:rPr>
            </w:pPr>
            <w:r w:rsidRPr="00434B60">
              <w:rPr>
                <w:rFonts w:eastAsia="Times New Roman" w:cstheme="minorHAnsi"/>
                <w:b/>
                <w:bCs/>
                <w:color w:val="FFFFFF"/>
                <w:kern w:val="24"/>
              </w:rPr>
              <w:t>Good IHP+ local partner?</w:t>
            </w:r>
          </w:p>
        </w:tc>
        <w:tc>
          <w:tcPr>
            <w:tcW w:w="830" w:type="pct"/>
            <w:tcBorders>
              <w:top w:val="single" w:sz="8" w:space="0" w:color="000000"/>
              <w:left w:val="single" w:sz="8" w:space="0" w:color="000000"/>
              <w:bottom w:val="single" w:sz="8" w:space="0" w:color="000000"/>
              <w:right w:val="single" w:sz="8" w:space="0" w:color="000000"/>
            </w:tcBorders>
            <w:shd w:val="clear" w:color="auto" w:fill="4F81BD"/>
            <w:tcMar>
              <w:top w:w="15" w:type="dxa"/>
              <w:left w:w="34" w:type="dxa"/>
              <w:bottom w:w="0" w:type="dxa"/>
              <w:right w:w="34" w:type="dxa"/>
            </w:tcMar>
            <w:hideMark/>
          </w:tcPr>
          <w:p w:rsidR="00423413" w:rsidRPr="00434B60" w:rsidRDefault="00423413" w:rsidP="00430DD0">
            <w:pPr>
              <w:spacing w:after="0" w:line="240" w:lineRule="auto"/>
              <w:jc w:val="center"/>
              <w:rPr>
                <w:rFonts w:eastAsia="Times New Roman" w:cstheme="minorHAnsi"/>
              </w:rPr>
            </w:pPr>
            <w:r w:rsidRPr="00434B60">
              <w:rPr>
                <w:rFonts w:eastAsia="Times New Roman" w:cstheme="minorHAnsi"/>
                <w:b/>
                <w:bCs/>
                <w:color w:val="FFFFFF"/>
                <w:kern w:val="24"/>
              </w:rPr>
              <w:t>Good IHP+ global partner?</w:t>
            </w:r>
          </w:p>
        </w:tc>
        <w:tc>
          <w:tcPr>
            <w:tcW w:w="623" w:type="pct"/>
            <w:tcBorders>
              <w:top w:val="single" w:sz="8" w:space="0" w:color="000000"/>
              <w:left w:val="single" w:sz="8" w:space="0" w:color="000000"/>
              <w:bottom w:val="single" w:sz="8" w:space="0" w:color="000000"/>
              <w:right w:val="single" w:sz="8" w:space="0" w:color="000000"/>
            </w:tcBorders>
            <w:shd w:val="clear" w:color="auto" w:fill="4F81BD"/>
            <w:tcMar>
              <w:top w:w="15" w:type="dxa"/>
              <w:left w:w="34" w:type="dxa"/>
              <w:bottom w:w="0" w:type="dxa"/>
              <w:right w:w="34" w:type="dxa"/>
            </w:tcMar>
            <w:hideMark/>
          </w:tcPr>
          <w:p w:rsidR="00423413" w:rsidRPr="00434B60" w:rsidRDefault="00423413" w:rsidP="00430DD0">
            <w:pPr>
              <w:spacing w:after="0" w:line="240" w:lineRule="auto"/>
              <w:jc w:val="center"/>
              <w:rPr>
                <w:rFonts w:eastAsia="Times New Roman" w:cstheme="minorHAnsi"/>
              </w:rPr>
            </w:pPr>
            <w:r w:rsidRPr="00434B60">
              <w:rPr>
                <w:rFonts w:eastAsia="Times New Roman" w:cstheme="minorHAnsi"/>
                <w:b/>
                <w:bCs/>
                <w:color w:val="FFFFFF"/>
                <w:kern w:val="24"/>
                <w:lang w:val="en-US"/>
              </w:rPr>
              <w:t>Interest?</w:t>
            </w:r>
          </w:p>
        </w:tc>
      </w:tr>
      <w:tr w:rsidR="00423413" w:rsidRPr="00434B60" w:rsidTr="00430DD0">
        <w:trPr>
          <w:trHeight w:val="882"/>
        </w:trPr>
        <w:tc>
          <w:tcPr>
            <w:tcW w:w="1400" w:type="pct"/>
            <w:tcBorders>
              <w:top w:val="single" w:sz="8" w:space="0" w:color="000000"/>
              <w:left w:val="single" w:sz="8" w:space="0" w:color="000000"/>
              <w:bottom w:val="single" w:sz="8" w:space="0" w:color="000000"/>
              <w:right w:val="single" w:sz="8" w:space="0" w:color="000000"/>
            </w:tcBorders>
            <w:shd w:val="clear" w:color="auto" w:fill="4F81BD"/>
            <w:tcMar>
              <w:top w:w="15" w:type="dxa"/>
              <w:left w:w="34" w:type="dxa"/>
              <w:bottom w:w="0" w:type="dxa"/>
              <w:right w:w="34" w:type="dxa"/>
            </w:tcMar>
            <w:hideMark/>
          </w:tcPr>
          <w:p w:rsidR="00423413" w:rsidRPr="00434B60" w:rsidRDefault="00423413" w:rsidP="00430DD0">
            <w:pPr>
              <w:pStyle w:val="ListParagraph"/>
              <w:numPr>
                <w:ilvl w:val="0"/>
                <w:numId w:val="2"/>
              </w:numPr>
              <w:tabs>
                <w:tab w:val="clear" w:pos="360"/>
                <w:tab w:val="left" w:pos="190"/>
                <w:tab w:val="num" w:pos="284"/>
              </w:tabs>
              <w:spacing w:after="0"/>
              <w:ind w:left="142" w:hanging="142"/>
              <w:rPr>
                <w:rFonts w:eastAsia="Times New Roman" w:cstheme="minorHAnsi"/>
              </w:rPr>
            </w:pPr>
            <w:r w:rsidRPr="00434B60">
              <w:rPr>
                <w:rFonts w:eastAsia="Times New Roman" w:cstheme="minorHAnsi"/>
                <w:color w:val="000000"/>
                <w:kern w:val="24"/>
              </w:rPr>
              <w:t>Users &amp; funders of health services</w:t>
            </w:r>
          </w:p>
        </w:tc>
        <w:tc>
          <w:tcPr>
            <w:tcW w:w="1454" w:type="pc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hideMark/>
          </w:tcPr>
          <w:p w:rsidR="00423413" w:rsidRPr="00434B60" w:rsidRDefault="00423413" w:rsidP="00430DD0">
            <w:pPr>
              <w:pStyle w:val="ListParagraph"/>
              <w:numPr>
                <w:ilvl w:val="0"/>
                <w:numId w:val="2"/>
              </w:numPr>
              <w:tabs>
                <w:tab w:val="left" w:pos="190"/>
              </w:tabs>
              <w:spacing w:after="0"/>
              <w:rPr>
                <w:rFonts w:eastAsia="Times New Roman" w:cstheme="minorHAnsi"/>
                <w:color w:val="000000"/>
                <w:kern w:val="24"/>
              </w:rPr>
            </w:pPr>
            <w:r w:rsidRPr="00434B60">
              <w:rPr>
                <w:rFonts w:eastAsia="Times New Roman" w:cstheme="minorHAnsi"/>
                <w:color w:val="000000"/>
                <w:kern w:val="24"/>
              </w:rPr>
              <w:t>Healthy workforce</w:t>
            </w:r>
          </w:p>
          <w:p w:rsidR="00423413" w:rsidRPr="00434B60" w:rsidRDefault="00423413" w:rsidP="00430DD0">
            <w:pPr>
              <w:pStyle w:val="ListParagraph"/>
              <w:numPr>
                <w:ilvl w:val="0"/>
                <w:numId w:val="2"/>
              </w:numPr>
              <w:tabs>
                <w:tab w:val="left" w:pos="190"/>
              </w:tabs>
              <w:spacing w:after="0"/>
              <w:rPr>
                <w:rFonts w:eastAsia="Times New Roman" w:cstheme="minorHAnsi"/>
              </w:rPr>
            </w:pPr>
            <w:r w:rsidRPr="00434B60">
              <w:rPr>
                <w:rFonts w:eastAsia="Times New Roman" w:cstheme="minorHAnsi"/>
                <w:color w:val="000000"/>
                <w:kern w:val="24"/>
              </w:rPr>
              <w:t>EDC interest: value for money</w:t>
            </w:r>
          </w:p>
        </w:tc>
        <w:tc>
          <w:tcPr>
            <w:tcW w:w="693" w:type="pct"/>
            <w:tcBorders>
              <w:top w:val="single" w:sz="8" w:space="0" w:color="000000"/>
              <w:left w:val="single" w:sz="8" w:space="0" w:color="000000"/>
              <w:bottom w:val="single" w:sz="8" w:space="0" w:color="000000"/>
              <w:right w:val="single" w:sz="8" w:space="0" w:color="000000"/>
            </w:tcBorders>
            <w:shd w:val="clear" w:color="auto" w:fill="E46C0A"/>
            <w:tcMar>
              <w:top w:w="15" w:type="dxa"/>
              <w:left w:w="34" w:type="dxa"/>
              <w:bottom w:w="0" w:type="dxa"/>
              <w:right w:w="34" w:type="dxa"/>
            </w:tcMar>
            <w:hideMark/>
          </w:tcPr>
          <w:p w:rsidR="00423413" w:rsidRPr="00434B60" w:rsidRDefault="00423413" w:rsidP="00430DD0">
            <w:pPr>
              <w:spacing w:after="0"/>
              <w:rPr>
                <w:rFonts w:eastAsia="Times New Roman" w:cstheme="minorHAnsi"/>
              </w:rPr>
            </w:pPr>
            <w:r w:rsidRPr="00434B60">
              <w:rPr>
                <w:rFonts w:eastAsia="Times New Roman" w:cstheme="minorHAnsi"/>
                <w:color w:val="000000"/>
                <w:kern w:val="24"/>
              </w:rPr>
              <w:t xml:space="preserve">No – should work directly with gov’t   </w:t>
            </w:r>
          </w:p>
        </w:tc>
        <w:tc>
          <w:tcPr>
            <w:tcW w:w="830" w:type="pct"/>
            <w:tcBorders>
              <w:top w:val="single" w:sz="8" w:space="0" w:color="000000"/>
              <w:left w:val="single" w:sz="8" w:space="0" w:color="000000"/>
              <w:bottom w:val="single" w:sz="8" w:space="0" w:color="000000"/>
              <w:right w:val="single" w:sz="8" w:space="0" w:color="000000"/>
            </w:tcBorders>
            <w:shd w:val="clear" w:color="auto" w:fill="E46C0A"/>
            <w:tcMar>
              <w:top w:w="15" w:type="dxa"/>
              <w:left w:w="34" w:type="dxa"/>
              <w:bottom w:w="0" w:type="dxa"/>
              <w:right w:w="34" w:type="dxa"/>
            </w:tcMar>
            <w:hideMark/>
          </w:tcPr>
          <w:p w:rsidR="00423413" w:rsidRPr="00434B60" w:rsidRDefault="00423413" w:rsidP="00430DD0">
            <w:pPr>
              <w:spacing w:after="0"/>
              <w:rPr>
                <w:rFonts w:eastAsia="Times New Roman" w:cstheme="minorHAnsi"/>
              </w:rPr>
            </w:pPr>
            <w:r w:rsidRPr="00434B60">
              <w:rPr>
                <w:rFonts w:eastAsia="Times New Roman" w:cstheme="minorHAnsi"/>
                <w:color w:val="000000"/>
                <w:kern w:val="24"/>
              </w:rPr>
              <w:t>No – group too local and diffuse</w:t>
            </w:r>
          </w:p>
        </w:tc>
        <w:tc>
          <w:tcPr>
            <w:tcW w:w="623" w:type="pct"/>
            <w:tcBorders>
              <w:top w:val="single" w:sz="8" w:space="0" w:color="000000"/>
              <w:left w:val="single" w:sz="8" w:space="0" w:color="000000"/>
              <w:bottom w:val="single" w:sz="8" w:space="0" w:color="000000"/>
              <w:right w:val="single" w:sz="8" w:space="0" w:color="000000"/>
            </w:tcBorders>
            <w:shd w:val="clear" w:color="auto" w:fill="92D050"/>
            <w:tcMar>
              <w:top w:w="15" w:type="dxa"/>
              <w:left w:w="34" w:type="dxa"/>
              <w:bottom w:w="0" w:type="dxa"/>
              <w:right w:w="34" w:type="dxa"/>
            </w:tcMar>
            <w:hideMark/>
          </w:tcPr>
          <w:p w:rsidR="00423413" w:rsidRPr="00434B60" w:rsidRDefault="00423413" w:rsidP="00430DD0">
            <w:pPr>
              <w:spacing w:after="0"/>
              <w:rPr>
                <w:rFonts w:eastAsia="Times New Roman" w:cstheme="minorHAnsi"/>
                <w:color w:val="000000"/>
                <w:kern w:val="24"/>
                <w:lang w:val="en-US"/>
              </w:rPr>
            </w:pPr>
            <w:r w:rsidRPr="00434B60">
              <w:rPr>
                <w:rFonts w:eastAsia="Times New Roman" w:cstheme="minorHAnsi"/>
                <w:color w:val="000000"/>
                <w:kern w:val="24"/>
                <w:lang w:val="en-US"/>
              </w:rPr>
              <w:t>Local – high</w:t>
            </w:r>
          </w:p>
          <w:p w:rsidR="00423413" w:rsidRPr="00434B60" w:rsidRDefault="00423413" w:rsidP="00430DD0">
            <w:pPr>
              <w:spacing w:after="0"/>
              <w:rPr>
                <w:rFonts w:eastAsia="Times New Roman" w:cstheme="minorHAnsi"/>
              </w:rPr>
            </w:pPr>
          </w:p>
          <w:p w:rsidR="00423413" w:rsidRPr="00434B60" w:rsidRDefault="00423413" w:rsidP="00430DD0">
            <w:pPr>
              <w:spacing w:after="0"/>
              <w:rPr>
                <w:rFonts w:eastAsia="Times New Roman" w:cstheme="minorHAnsi"/>
              </w:rPr>
            </w:pPr>
            <w:r w:rsidRPr="00434B60">
              <w:rPr>
                <w:rFonts w:eastAsia="Times New Roman" w:cstheme="minorHAnsi"/>
                <w:color w:val="000000"/>
                <w:kern w:val="24"/>
                <w:lang w:val="en-US"/>
              </w:rPr>
              <w:t>Global – low</w:t>
            </w:r>
          </w:p>
        </w:tc>
      </w:tr>
      <w:tr w:rsidR="00423413" w:rsidRPr="00434B60" w:rsidTr="00430DD0">
        <w:trPr>
          <w:trHeight w:val="1182"/>
        </w:trPr>
        <w:tc>
          <w:tcPr>
            <w:tcW w:w="1400" w:type="pct"/>
            <w:tcBorders>
              <w:top w:val="single" w:sz="8" w:space="0" w:color="000000"/>
              <w:left w:val="single" w:sz="8" w:space="0" w:color="000000"/>
              <w:bottom w:val="single" w:sz="8" w:space="0" w:color="000000"/>
              <w:right w:val="single" w:sz="8" w:space="0" w:color="000000"/>
            </w:tcBorders>
            <w:shd w:val="clear" w:color="auto" w:fill="4F81BD"/>
            <w:tcMar>
              <w:top w:w="15" w:type="dxa"/>
              <w:left w:w="34" w:type="dxa"/>
              <w:bottom w:w="0" w:type="dxa"/>
              <w:right w:w="34" w:type="dxa"/>
            </w:tcMar>
            <w:hideMark/>
          </w:tcPr>
          <w:p w:rsidR="00423413" w:rsidRPr="00434B60" w:rsidRDefault="00423413" w:rsidP="00430DD0">
            <w:pPr>
              <w:pStyle w:val="ListParagraph"/>
              <w:numPr>
                <w:ilvl w:val="0"/>
                <w:numId w:val="2"/>
              </w:numPr>
              <w:tabs>
                <w:tab w:val="clear" w:pos="360"/>
                <w:tab w:val="left" w:pos="142"/>
              </w:tabs>
              <w:spacing w:after="0"/>
              <w:ind w:left="142" w:hanging="142"/>
              <w:rPr>
                <w:rFonts w:eastAsia="Times New Roman" w:cstheme="minorHAnsi"/>
                <w:color w:val="000000"/>
                <w:kern w:val="24"/>
              </w:rPr>
            </w:pPr>
            <w:r>
              <w:rPr>
                <w:rFonts w:eastAsia="Times New Roman" w:cstheme="minorHAnsi"/>
                <w:color w:val="000000"/>
                <w:kern w:val="24"/>
              </w:rPr>
              <w:t xml:space="preserve"> </w:t>
            </w:r>
            <w:r w:rsidRPr="00434B60">
              <w:rPr>
                <w:rFonts w:eastAsia="Times New Roman" w:cstheme="minorHAnsi"/>
                <w:color w:val="000000"/>
                <w:kern w:val="24"/>
              </w:rPr>
              <w:t>Private providers (commodities, services)</w:t>
            </w:r>
          </w:p>
          <w:p w:rsidR="00423413" w:rsidRPr="00434B60" w:rsidRDefault="00423413" w:rsidP="00430DD0">
            <w:pPr>
              <w:pStyle w:val="ListParagraph"/>
              <w:numPr>
                <w:ilvl w:val="0"/>
                <w:numId w:val="2"/>
              </w:numPr>
              <w:tabs>
                <w:tab w:val="left" w:pos="190"/>
              </w:tabs>
              <w:spacing w:after="0"/>
              <w:rPr>
                <w:rFonts w:eastAsia="Times New Roman" w:cstheme="minorHAnsi"/>
                <w:color w:val="000000"/>
                <w:kern w:val="24"/>
              </w:rPr>
            </w:pPr>
            <w:r w:rsidRPr="00434B60">
              <w:rPr>
                <w:rFonts w:eastAsia="Times New Roman" w:cstheme="minorHAnsi"/>
                <w:color w:val="000000"/>
                <w:kern w:val="24"/>
              </w:rPr>
              <w:t>Insurers / health plans</w:t>
            </w:r>
          </w:p>
          <w:p w:rsidR="00423413" w:rsidRPr="00434B60" w:rsidRDefault="00423413" w:rsidP="00430DD0">
            <w:pPr>
              <w:pStyle w:val="ListParagraph"/>
              <w:numPr>
                <w:ilvl w:val="0"/>
                <w:numId w:val="2"/>
              </w:numPr>
              <w:tabs>
                <w:tab w:val="left" w:pos="190"/>
              </w:tabs>
              <w:spacing w:after="0"/>
              <w:rPr>
                <w:rFonts w:eastAsia="Times New Roman" w:cstheme="minorHAnsi"/>
              </w:rPr>
            </w:pPr>
            <w:r w:rsidRPr="00434B60">
              <w:rPr>
                <w:rFonts w:eastAsia="Times New Roman" w:cstheme="minorHAnsi"/>
                <w:color w:val="000000"/>
                <w:kern w:val="24"/>
              </w:rPr>
              <w:t>Professional groups</w:t>
            </w:r>
          </w:p>
        </w:tc>
        <w:tc>
          <w:tcPr>
            <w:tcW w:w="1454" w:type="pc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hideMark/>
          </w:tcPr>
          <w:p w:rsidR="00423413" w:rsidRPr="00434B60" w:rsidRDefault="00423413" w:rsidP="00430DD0">
            <w:pPr>
              <w:pStyle w:val="ListParagraph"/>
              <w:numPr>
                <w:ilvl w:val="0"/>
                <w:numId w:val="2"/>
              </w:numPr>
              <w:tabs>
                <w:tab w:val="left" w:pos="190"/>
              </w:tabs>
              <w:spacing w:after="0"/>
              <w:rPr>
                <w:rFonts w:eastAsia="Times New Roman" w:cstheme="minorHAnsi"/>
              </w:rPr>
            </w:pPr>
            <w:r w:rsidRPr="00434B60">
              <w:rPr>
                <w:rFonts w:eastAsia="Times New Roman" w:cstheme="minorHAnsi"/>
                <w:color w:val="000000"/>
                <w:kern w:val="24"/>
              </w:rPr>
              <w:t>Enabling, efficient regulation</w:t>
            </w:r>
          </w:p>
          <w:p w:rsidR="00423413" w:rsidRPr="00434B60" w:rsidRDefault="00423413" w:rsidP="00430DD0">
            <w:pPr>
              <w:pStyle w:val="ListParagraph"/>
              <w:numPr>
                <w:ilvl w:val="0"/>
                <w:numId w:val="2"/>
              </w:numPr>
              <w:tabs>
                <w:tab w:val="left" w:pos="190"/>
              </w:tabs>
              <w:spacing w:after="0"/>
              <w:rPr>
                <w:rFonts w:eastAsia="Times New Roman" w:cstheme="minorHAnsi"/>
              </w:rPr>
            </w:pPr>
            <w:r w:rsidRPr="00434B60">
              <w:rPr>
                <w:rFonts w:eastAsia="Times New Roman" w:cstheme="minorHAnsi"/>
                <w:color w:val="000000"/>
                <w:kern w:val="24"/>
              </w:rPr>
              <w:t xml:space="preserve">Stable funding </w:t>
            </w:r>
          </w:p>
          <w:p w:rsidR="00423413" w:rsidRPr="00434B60" w:rsidRDefault="00423413" w:rsidP="00430DD0">
            <w:pPr>
              <w:pStyle w:val="ListParagraph"/>
              <w:numPr>
                <w:ilvl w:val="0"/>
                <w:numId w:val="2"/>
              </w:numPr>
              <w:tabs>
                <w:tab w:val="clear" w:pos="360"/>
                <w:tab w:val="left" w:pos="190"/>
                <w:tab w:val="num" w:pos="221"/>
              </w:tabs>
              <w:spacing w:after="0"/>
              <w:ind w:left="221" w:hanging="221"/>
              <w:rPr>
                <w:rFonts w:eastAsia="Times New Roman" w:cstheme="minorHAnsi"/>
              </w:rPr>
            </w:pPr>
            <w:r w:rsidRPr="00434B60">
              <w:rPr>
                <w:rFonts w:eastAsia="Times New Roman" w:cstheme="minorHAnsi"/>
                <w:color w:val="000000"/>
                <w:kern w:val="24"/>
              </w:rPr>
              <w:t>Want access to gov’t or external funds, supplies and TA</w:t>
            </w:r>
          </w:p>
        </w:tc>
        <w:tc>
          <w:tcPr>
            <w:tcW w:w="693" w:type="pct"/>
            <w:tcBorders>
              <w:top w:val="single" w:sz="8" w:space="0" w:color="000000"/>
              <w:left w:val="single" w:sz="8" w:space="0" w:color="000000"/>
              <w:bottom w:val="single" w:sz="8" w:space="0" w:color="000000"/>
              <w:right w:val="single" w:sz="8" w:space="0" w:color="000000"/>
            </w:tcBorders>
            <w:shd w:val="clear" w:color="auto" w:fill="92D050"/>
            <w:tcMar>
              <w:top w:w="15" w:type="dxa"/>
              <w:left w:w="34" w:type="dxa"/>
              <w:bottom w:w="0" w:type="dxa"/>
              <w:right w:w="34" w:type="dxa"/>
            </w:tcMar>
            <w:hideMark/>
          </w:tcPr>
          <w:p w:rsidR="00423413" w:rsidRPr="00434B60" w:rsidRDefault="00423413" w:rsidP="00430DD0">
            <w:pPr>
              <w:spacing w:after="0"/>
              <w:rPr>
                <w:rFonts w:eastAsia="Times New Roman" w:cstheme="minorHAnsi"/>
              </w:rPr>
            </w:pPr>
            <w:r w:rsidRPr="00434B60">
              <w:rPr>
                <w:rFonts w:eastAsia="Times New Roman" w:cstheme="minorHAnsi"/>
                <w:color w:val="000000"/>
                <w:kern w:val="24"/>
              </w:rPr>
              <w:t>Yes – if present in country at scale</w:t>
            </w:r>
          </w:p>
        </w:tc>
        <w:tc>
          <w:tcPr>
            <w:tcW w:w="830" w:type="pct"/>
            <w:tcBorders>
              <w:top w:val="single" w:sz="8" w:space="0" w:color="000000"/>
              <w:left w:val="single" w:sz="8" w:space="0" w:color="000000"/>
              <w:bottom w:val="single" w:sz="8" w:space="0" w:color="000000"/>
              <w:right w:val="single" w:sz="8" w:space="0" w:color="000000"/>
            </w:tcBorders>
            <w:shd w:val="clear" w:color="auto" w:fill="92D050"/>
            <w:tcMar>
              <w:top w:w="15" w:type="dxa"/>
              <w:left w:w="34" w:type="dxa"/>
              <w:bottom w:w="0" w:type="dxa"/>
              <w:right w:w="34" w:type="dxa"/>
            </w:tcMar>
            <w:hideMark/>
          </w:tcPr>
          <w:p w:rsidR="00423413" w:rsidRPr="00434B60" w:rsidRDefault="00423413" w:rsidP="00430DD0">
            <w:pPr>
              <w:spacing w:after="0"/>
              <w:rPr>
                <w:rFonts w:eastAsia="Times New Roman" w:cstheme="minorHAnsi"/>
                <w:color w:val="000000"/>
                <w:kern w:val="24"/>
              </w:rPr>
            </w:pPr>
            <w:r w:rsidRPr="00434B60">
              <w:rPr>
                <w:rFonts w:eastAsia="Times New Roman" w:cstheme="minorHAnsi"/>
                <w:color w:val="000000"/>
                <w:kern w:val="24"/>
              </w:rPr>
              <w:t xml:space="preserve">Yes – if multinational presence </w:t>
            </w:r>
          </w:p>
          <w:p w:rsidR="00423413" w:rsidRPr="00434B60" w:rsidRDefault="00423413" w:rsidP="00430DD0">
            <w:pPr>
              <w:spacing w:after="0"/>
              <w:rPr>
                <w:rFonts w:eastAsia="Times New Roman" w:cstheme="minorHAnsi"/>
              </w:rPr>
            </w:pPr>
            <w:r w:rsidRPr="00434B60">
              <w:rPr>
                <w:rFonts w:eastAsia="Times New Roman" w:cstheme="minorHAnsi"/>
                <w:color w:val="000000"/>
                <w:kern w:val="24"/>
              </w:rPr>
              <w:t>Or umbrella group</w:t>
            </w:r>
          </w:p>
        </w:tc>
        <w:tc>
          <w:tcPr>
            <w:tcW w:w="623" w:type="pct"/>
            <w:tcBorders>
              <w:top w:val="single" w:sz="8" w:space="0" w:color="000000"/>
              <w:left w:val="single" w:sz="8" w:space="0" w:color="000000"/>
              <w:bottom w:val="single" w:sz="8" w:space="0" w:color="000000"/>
              <w:right w:val="single" w:sz="8" w:space="0" w:color="000000"/>
            </w:tcBorders>
            <w:shd w:val="clear" w:color="auto" w:fill="92D050"/>
            <w:tcMar>
              <w:top w:w="15" w:type="dxa"/>
              <w:left w:w="34" w:type="dxa"/>
              <w:bottom w:w="0" w:type="dxa"/>
              <w:right w:w="34" w:type="dxa"/>
            </w:tcMar>
            <w:hideMark/>
          </w:tcPr>
          <w:p w:rsidR="00423413" w:rsidRPr="00434B60" w:rsidRDefault="00423413" w:rsidP="00430DD0">
            <w:pPr>
              <w:spacing w:after="0"/>
              <w:rPr>
                <w:rFonts w:eastAsia="Times New Roman" w:cstheme="minorHAnsi"/>
                <w:color w:val="000000"/>
                <w:kern w:val="24"/>
                <w:lang w:val="en-US"/>
              </w:rPr>
            </w:pPr>
            <w:r w:rsidRPr="00434B60">
              <w:rPr>
                <w:rFonts w:eastAsia="Times New Roman" w:cstheme="minorHAnsi"/>
                <w:color w:val="000000"/>
                <w:kern w:val="24"/>
                <w:lang w:val="en-US"/>
              </w:rPr>
              <w:t>Local – high</w:t>
            </w:r>
          </w:p>
          <w:p w:rsidR="00423413" w:rsidRPr="00434B60" w:rsidRDefault="00423413" w:rsidP="00430DD0">
            <w:pPr>
              <w:spacing w:after="0"/>
              <w:rPr>
                <w:rFonts w:eastAsia="Times New Roman" w:cstheme="minorHAnsi"/>
              </w:rPr>
            </w:pPr>
          </w:p>
          <w:p w:rsidR="00423413" w:rsidRPr="00434B60" w:rsidRDefault="00423413" w:rsidP="00430DD0">
            <w:pPr>
              <w:spacing w:after="0"/>
              <w:rPr>
                <w:rFonts w:eastAsia="Times New Roman" w:cstheme="minorHAnsi"/>
              </w:rPr>
            </w:pPr>
            <w:r w:rsidRPr="00434B60">
              <w:rPr>
                <w:rFonts w:eastAsia="Times New Roman" w:cstheme="minorHAnsi"/>
                <w:color w:val="000000"/>
                <w:kern w:val="24"/>
                <w:lang w:val="en-US"/>
              </w:rPr>
              <w:t>Global  –  low</w:t>
            </w:r>
          </w:p>
        </w:tc>
      </w:tr>
      <w:tr w:rsidR="00423413" w:rsidRPr="00434B60" w:rsidTr="00430DD0">
        <w:trPr>
          <w:trHeight w:val="1502"/>
        </w:trPr>
        <w:tc>
          <w:tcPr>
            <w:tcW w:w="1400" w:type="pct"/>
            <w:tcBorders>
              <w:top w:val="single" w:sz="8" w:space="0" w:color="000000"/>
              <w:left w:val="single" w:sz="8" w:space="0" w:color="000000"/>
              <w:bottom w:val="single" w:sz="8" w:space="0" w:color="000000"/>
              <w:right w:val="single" w:sz="8" w:space="0" w:color="000000"/>
            </w:tcBorders>
            <w:shd w:val="clear" w:color="auto" w:fill="4F81BD"/>
            <w:tcMar>
              <w:top w:w="15" w:type="dxa"/>
              <w:left w:w="34" w:type="dxa"/>
              <w:bottom w:w="0" w:type="dxa"/>
              <w:right w:w="34" w:type="dxa"/>
            </w:tcMar>
            <w:hideMark/>
          </w:tcPr>
          <w:p w:rsidR="00423413" w:rsidRPr="00434B60" w:rsidRDefault="00423413" w:rsidP="00430DD0">
            <w:pPr>
              <w:pStyle w:val="ListParagraph"/>
              <w:numPr>
                <w:ilvl w:val="0"/>
                <w:numId w:val="2"/>
              </w:numPr>
              <w:tabs>
                <w:tab w:val="left" w:pos="190"/>
              </w:tabs>
              <w:spacing w:after="0"/>
              <w:rPr>
                <w:rFonts w:eastAsia="Times New Roman" w:cstheme="minorHAnsi"/>
                <w:color w:val="000000"/>
                <w:kern w:val="24"/>
              </w:rPr>
            </w:pPr>
            <w:r w:rsidRPr="00434B60">
              <w:rPr>
                <w:rFonts w:eastAsia="Times New Roman" w:cstheme="minorHAnsi"/>
                <w:color w:val="000000"/>
                <w:kern w:val="24"/>
              </w:rPr>
              <w:t>Foreign direct investors</w:t>
            </w:r>
          </w:p>
          <w:p w:rsidR="00423413" w:rsidRPr="00434B60" w:rsidRDefault="00423413" w:rsidP="00430DD0">
            <w:pPr>
              <w:pStyle w:val="ListParagraph"/>
              <w:numPr>
                <w:ilvl w:val="0"/>
                <w:numId w:val="2"/>
              </w:numPr>
              <w:tabs>
                <w:tab w:val="left" w:pos="190"/>
              </w:tabs>
              <w:spacing w:after="0"/>
              <w:rPr>
                <w:rFonts w:eastAsia="Times New Roman" w:cstheme="minorHAnsi"/>
                <w:color w:val="000000"/>
                <w:kern w:val="24"/>
              </w:rPr>
            </w:pPr>
            <w:r w:rsidRPr="00434B60">
              <w:rPr>
                <w:rFonts w:eastAsia="Times New Roman" w:cstheme="minorHAnsi"/>
                <w:color w:val="000000"/>
                <w:kern w:val="24"/>
              </w:rPr>
              <w:t>Social investors</w:t>
            </w:r>
          </w:p>
          <w:p w:rsidR="00423413" w:rsidRPr="00434B60" w:rsidRDefault="00423413" w:rsidP="00430DD0">
            <w:pPr>
              <w:pStyle w:val="ListParagraph"/>
              <w:numPr>
                <w:ilvl w:val="0"/>
                <w:numId w:val="2"/>
              </w:numPr>
              <w:tabs>
                <w:tab w:val="left" w:pos="190"/>
              </w:tabs>
              <w:spacing w:after="0"/>
              <w:rPr>
                <w:rFonts w:eastAsia="Times New Roman" w:cstheme="minorHAnsi"/>
                <w:color w:val="000000"/>
                <w:kern w:val="24"/>
              </w:rPr>
            </w:pPr>
            <w:r w:rsidRPr="00434B60">
              <w:rPr>
                <w:rFonts w:eastAsia="Times New Roman" w:cstheme="minorHAnsi"/>
                <w:color w:val="000000"/>
                <w:kern w:val="24"/>
              </w:rPr>
              <w:t>Public Private Partnerships</w:t>
            </w:r>
          </w:p>
          <w:p w:rsidR="00423413" w:rsidRPr="00434B60" w:rsidRDefault="00423413" w:rsidP="00430DD0">
            <w:pPr>
              <w:tabs>
                <w:tab w:val="left" w:pos="190"/>
              </w:tabs>
              <w:spacing w:after="0"/>
              <w:ind w:left="360"/>
              <w:rPr>
                <w:rFonts w:eastAsia="Times New Roman" w:cstheme="minorHAnsi"/>
                <w:color w:val="000000"/>
                <w:kern w:val="24"/>
              </w:rPr>
            </w:pPr>
          </w:p>
        </w:tc>
        <w:tc>
          <w:tcPr>
            <w:tcW w:w="1454" w:type="pc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hideMark/>
          </w:tcPr>
          <w:p w:rsidR="00423413" w:rsidRPr="00434B60" w:rsidRDefault="00423413" w:rsidP="00430DD0">
            <w:pPr>
              <w:pStyle w:val="ListParagraph"/>
              <w:numPr>
                <w:ilvl w:val="0"/>
                <w:numId w:val="2"/>
              </w:numPr>
              <w:tabs>
                <w:tab w:val="left" w:pos="190"/>
              </w:tabs>
              <w:spacing w:after="0"/>
              <w:rPr>
                <w:rFonts w:eastAsia="Times New Roman" w:cstheme="minorHAnsi"/>
                <w:color w:val="000000"/>
                <w:kern w:val="24"/>
              </w:rPr>
            </w:pPr>
            <w:r w:rsidRPr="00434B60">
              <w:rPr>
                <w:rFonts w:eastAsia="Times New Roman" w:cstheme="minorHAnsi"/>
                <w:color w:val="000000"/>
                <w:kern w:val="24"/>
              </w:rPr>
              <w:t>Stable, predictable market</w:t>
            </w:r>
          </w:p>
          <w:p w:rsidR="00423413" w:rsidRPr="00434B60" w:rsidRDefault="00423413" w:rsidP="00430DD0">
            <w:pPr>
              <w:pStyle w:val="ListParagraph"/>
              <w:numPr>
                <w:ilvl w:val="0"/>
                <w:numId w:val="2"/>
              </w:numPr>
              <w:tabs>
                <w:tab w:val="left" w:pos="190"/>
              </w:tabs>
              <w:spacing w:after="0"/>
              <w:rPr>
                <w:rFonts w:eastAsia="Times New Roman" w:cstheme="minorHAnsi"/>
                <w:color w:val="000000"/>
                <w:kern w:val="24"/>
              </w:rPr>
            </w:pPr>
            <w:r w:rsidRPr="00434B60">
              <w:rPr>
                <w:rFonts w:eastAsia="Times New Roman" w:cstheme="minorHAnsi"/>
                <w:color w:val="000000"/>
                <w:kern w:val="24"/>
              </w:rPr>
              <w:t>Efficient health system</w:t>
            </w:r>
          </w:p>
          <w:p w:rsidR="00423413" w:rsidRPr="00434B60" w:rsidRDefault="00423413" w:rsidP="00430DD0">
            <w:pPr>
              <w:pStyle w:val="ListParagraph"/>
              <w:numPr>
                <w:ilvl w:val="0"/>
                <w:numId w:val="2"/>
              </w:numPr>
              <w:tabs>
                <w:tab w:val="clear" w:pos="360"/>
                <w:tab w:val="left" w:pos="190"/>
                <w:tab w:val="num" w:pos="221"/>
              </w:tabs>
              <w:spacing w:after="0"/>
              <w:ind w:left="221" w:hanging="221"/>
              <w:rPr>
                <w:rFonts w:eastAsia="Times New Roman" w:cstheme="minorHAnsi"/>
                <w:color w:val="000000"/>
                <w:kern w:val="24"/>
              </w:rPr>
            </w:pPr>
            <w:r w:rsidRPr="00434B60">
              <w:rPr>
                <w:rFonts w:eastAsia="Times New Roman" w:cstheme="minorHAnsi"/>
                <w:color w:val="000000"/>
                <w:kern w:val="24"/>
              </w:rPr>
              <w:t>Clear role for private sector, competition, transparency</w:t>
            </w:r>
          </w:p>
          <w:p w:rsidR="00423413" w:rsidRPr="00434B60" w:rsidRDefault="00423413" w:rsidP="00430DD0">
            <w:pPr>
              <w:pStyle w:val="ListParagraph"/>
              <w:numPr>
                <w:ilvl w:val="0"/>
                <w:numId w:val="2"/>
              </w:numPr>
              <w:tabs>
                <w:tab w:val="left" w:pos="190"/>
              </w:tabs>
              <w:spacing w:after="0"/>
              <w:rPr>
                <w:rFonts w:eastAsia="Times New Roman" w:cstheme="minorHAnsi"/>
                <w:color w:val="000000"/>
                <w:kern w:val="24"/>
              </w:rPr>
            </w:pPr>
            <w:r w:rsidRPr="00434B60">
              <w:rPr>
                <w:rFonts w:eastAsia="Times New Roman" w:cstheme="minorHAnsi"/>
                <w:color w:val="000000"/>
                <w:kern w:val="24"/>
              </w:rPr>
              <w:t>Subsidies/risk reduction</w:t>
            </w:r>
          </w:p>
        </w:tc>
        <w:tc>
          <w:tcPr>
            <w:tcW w:w="693" w:type="pct"/>
            <w:tcBorders>
              <w:top w:val="single" w:sz="8" w:space="0" w:color="000000"/>
              <w:left w:val="single" w:sz="8" w:space="0" w:color="000000"/>
              <w:bottom w:val="single" w:sz="8" w:space="0" w:color="000000"/>
              <w:right w:val="single" w:sz="8" w:space="0" w:color="000000"/>
            </w:tcBorders>
            <w:shd w:val="clear" w:color="auto" w:fill="FFFF00"/>
            <w:tcMar>
              <w:top w:w="15" w:type="dxa"/>
              <w:left w:w="34" w:type="dxa"/>
              <w:bottom w:w="0" w:type="dxa"/>
              <w:right w:w="34" w:type="dxa"/>
            </w:tcMar>
            <w:hideMark/>
          </w:tcPr>
          <w:p w:rsidR="00423413" w:rsidRPr="00434B60" w:rsidRDefault="00423413" w:rsidP="00430DD0">
            <w:pPr>
              <w:spacing w:after="0"/>
              <w:rPr>
                <w:rFonts w:eastAsia="Times New Roman" w:cstheme="minorHAnsi"/>
              </w:rPr>
            </w:pPr>
            <w:r w:rsidRPr="00434B60">
              <w:rPr>
                <w:rFonts w:eastAsia="Times New Roman" w:cstheme="minorHAnsi"/>
                <w:color w:val="000000"/>
                <w:kern w:val="24"/>
              </w:rPr>
              <w:t>Maybe (if already present at scale)</w:t>
            </w:r>
          </w:p>
        </w:tc>
        <w:tc>
          <w:tcPr>
            <w:tcW w:w="830" w:type="pct"/>
            <w:tcBorders>
              <w:top w:val="single" w:sz="8" w:space="0" w:color="000000"/>
              <w:left w:val="single" w:sz="8" w:space="0" w:color="000000"/>
              <w:bottom w:val="single" w:sz="8" w:space="0" w:color="000000"/>
              <w:right w:val="single" w:sz="8" w:space="0" w:color="000000"/>
            </w:tcBorders>
            <w:shd w:val="clear" w:color="auto" w:fill="FFFF00"/>
            <w:tcMar>
              <w:top w:w="15" w:type="dxa"/>
              <w:left w:w="34" w:type="dxa"/>
              <w:bottom w:w="0" w:type="dxa"/>
              <w:right w:w="34" w:type="dxa"/>
            </w:tcMar>
            <w:hideMark/>
          </w:tcPr>
          <w:p w:rsidR="00423413" w:rsidRPr="00434B60" w:rsidRDefault="00423413" w:rsidP="00430DD0">
            <w:pPr>
              <w:spacing w:after="0"/>
              <w:rPr>
                <w:rFonts w:eastAsia="Times New Roman" w:cstheme="minorHAnsi"/>
              </w:rPr>
            </w:pPr>
            <w:r w:rsidRPr="00434B60">
              <w:rPr>
                <w:rFonts w:eastAsia="Times New Roman" w:cstheme="minorHAnsi"/>
                <w:color w:val="000000"/>
                <w:kern w:val="24"/>
              </w:rPr>
              <w:t>Unlikely  - TBD</w:t>
            </w:r>
          </w:p>
        </w:tc>
        <w:tc>
          <w:tcPr>
            <w:tcW w:w="623" w:type="pct"/>
            <w:tcBorders>
              <w:top w:val="single" w:sz="8" w:space="0" w:color="000000"/>
              <w:left w:val="single" w:sz="8" w:space="0" w:color="000000"/>
              <w:bottom w:val="single" w:sz="8" w:space="0" w:color="000000"/>
              <w:right w:val="single" w:sz="8" w:space="0" w:color="000000"/>
            </w:tcBorders>
            <w:shd w:val="clear" w:color="auto" w:fill="FFFF00"/>
            <w:tcMar>
              <w:top w:w="15" w:type="dxa"/>
              <w:left w:w="34" w:type="dxa"/>
              <w:bottom w:w="0" w:type="dxa"/>
              <w:right w:w="34" w:type="dxa"/>
            </w:tcMar>
            <w:hideMark/>
          </w:tcPr>
          <w:p w:rsidR="00423413" w:rsidRPr="00434B60" w:rsidRDefault="00423413" w:rsidP="00430DD0">
            <w:pPr>
              <w:spacing w:after="0"/>
              <w:rPr>
                <w:rFonts w:eastAsia="Times New Roman" w:cstheme="minorHAnsi"/>
                <w:color w:val="000000"/>
                <w:kern w:val="24"/>
                <w:lang w:val="en-US"/>
              </w:rPr>
            </w:pPr>
            <w:r w:rsidRPr="00434B60">
              <w:rPr>
                <w:rFonts w:eastAsia="Times New Roman" w:cstheme="minorHAnsi"/>
                <w:color w:val="000000"/>
                <w:kern w:val="24"/>
                <w:lang w:val="en-US"/>
              </w:rPr>
              <w:t>Local – medium</w:t>
            </w:r>
          </w:p>
          <w:p w:rsidR="00423413" w:rsidRPr="00434B60" w:rsidRDefault="00423413" w:rsidP="00430DD0">
            <w:pPr>
              <w:spacing w:after="0"/>
              <w:rPr>
                <w:rFonts w:eastAsia="Times New Roman" w:cstheme="minorHAnsi"/>
              </w:rPr>
            </w:pPr>
          </w:p>
          <w:p w:rsidR="00423413" w:rsidRPr="00434B60" w:rsidRDefault="00423413" w:rsidP="00430DD0">
            <w:pPr>
              <w:spacing w:after="0"/>
              <w:rPr>
                <w:rFonts w:eastAsia="Times New Roman" w:cstheme="minorHAnsi"/>
              </w:rPr>
            </w:pPr>
            <w:r w:rsidRPr="00434B60">
              <w:rPr>
                <w:rFonts w:eastAsia="Times New Roman" w:cstheme="minorHAnsi"/>
                <w:color w:val="000000"/>
                <w:kern w:val="24"/>
                <w:lang w:val="en-US"/>
              </w:rPr>
              <w:t>Global – low</w:t>
            </w:r>
          </w:p>
        </w:tc>
      </w:tr>
      <w:tr w:rsidR="00423413" w:rsidRPr="00434B60" w:rsidTr="00430DD0">
        <w:trPr>
          <w:trHeight w:val="1691"/>
        </w:trPr>
        <w:tc>
          <w:tcPr>
            <w:tcW w:w="1400" w:type="pct"/>
            <w:tcBorders>
              <w:top w:val="single" w:sz="8" w:space="0" w:color="000000"/>
              <w:left w:val="single" w:sz="8" w:space="0" w:color="000000"/>
              <w:bottom w:val="single" w:sz="8" w:space="0" w:color="000000"/>
              <w:right w:val="single" w:sz="8" w:space="0" w:color="000000"/>
            </w:tcBorders>
            <w:shd w:val="clear" w:color="auto" w:fill="4F81BD"/>
            <w:tcMar>
              <w:top w:w="15" w:type="dxa"/>
              <w:left w:w="34" w:type="dxa"/>
              <w:bottom w:w="0" w:type="dxa"/>
              <w:right w:w="34" w:type="dxa"/>
            </w:tcMar>
            <w:hideMark/>
          </w:tcPr>
          <w:p w:rsidR="00423413" w:rsidRPr="00434B60" w:rsidRDefault="00423413" w:rsidP="00423413">
            <w:pPr>
              <w:pStyle w:val="ListParagraph"/>
              <w:numPr>
                <w:ilvl w:val="0"/>
                <w:numId w:val="2"/>
              </w:numPr>
              <w:tabs>
                <w:tab w:val="clear" w:pos="360"/>
                <w:tab w:val="left" w:pos="190"/>
              </w:tabs>
              <w:spacing w:after="0"/>
              <w:ind w:left="142" w:hanging="142"/>
              <w:rPr>
                <w:rFonts w:eastAsia="Times New Roman" w:cstheme="minorHAnsi"/>
                <w:color w:val="000000"/>
                <w:kern w:val="24"/>
              </w:rPr>
            </w:pPr>
            <w:r w:rsidRPr="00434B60">
              <w:rPr>
                <w:rFonts w:eastAsia="Times New Roman" w:cstheme="minorHAnsi"/>
                <w:color w:val="000000"/>
                <w:kern w:val="24"/>
              </w:rPr>
              <w:t>Philanthropy e.g., foundations, international NGOs, Pharma CSR</w:t>
            </w:r>
          </w:p>
        </w:tc>
        <w:tc>
          <w:tcPr>
            <w:tcW w:w="1454" w:type="pc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hideMark/>
          </w:tcPr>
          <w:p w:rsidR="00423413" w:rsidRPr="00434B60" w:rsidRDefault="00423413" w:rsidP="00430DD0">
            <w:pPr>
              <w:pStyle w:val="ListParagraph"/>
              <w:numPr>
                <w:ilvl w:val="0"/>
                <w:numId w:val="2"/>
              </w:numPr>
              <w:tabs>
                <w:tab w:val="left" w:pos="190"/>
              </w:tabs>
              <w:spacing w:after="0"/>
              <w:rPr>
                <w:rFonts w:eastAsia="Times New Roman" w:cstheme="minorHAnsi"/>
                <w:color w:val="000000"/>
                <w:kern w:val="24"/>
              </w:rPr>
            </w:pPr>
            <w:r w:rsidRPr="00434B60">
              <w:rPr>
                <w:rFonts w:eastAsia="Times New Roman" w:cstheme="minorHAnsi"/>
                <w:color w:val="000000"/>
                <w:kern w:val="24"/>
              </w:rPr>
              <w:t xml:space="preserve">Better outcomes and equity </w:t>
            </w:r>
          </w:p>
          <w:p w:rsidR="00423413" w:rsidRPr="00434B60" w:rsidRDefault="00423413" w:rsidP="00430DD0">
            <w:pPr>
              <w:pStyle w:val="ListParagraph"/>
              <w:numPr>
                <w:ilvl w:val="0"/>
                <w:numId w:val="2"/>
              </w:numPr>
              <w:tabs>
                <w:tab w:val="left" w:pos="190"/>
              </w:tabs>
              <w:spacing w:after="0"/>
              <w:rPr>
                <w:rFonts w:eastAsia="Times New Roman" w:cstheme="minorHAnsi"/>
                <w:color w:val="000000"/>
                <w:kern w:val="24"/>
              </w:rPr>
            </w:pPr>
            <w:r w:rsidRPr="00434B60">
              <w:rPr>
                <w:rFonts w:eastAsia="Times New Roman" w:cstheme="minorHAnsi"/>
                <w:color w:val="000000"/>
                <w:kern w:val="24"/>
              </w:rPr>
              <w:t>Influence policy</w:t>
            </w:r>
          </w:p>
          <w:p w:rsidR="00423413" w:rsidRPr="00434B60" w:rsidRDefault="00423413" w:rsidP="00430DD0">
            <w:pPr>
              <w:pStyle w:val="ListParagraph"/>
              <w:numPr>
                <w:ilvl w:val="0"/>
                <w:numId w:val="2"/>
              </w:numPr>
              <w:tabs>
                <w:tab w:val="clear" w:pos="360"/>
                <w:tab w:val="left" w:pos="190"/>
                <w:tab w:val="num" w:pos="221"/>
              </w:tabs>
              <w:spacing w:after="0"/>
              <w:ind w:left="221" w:hanging="221"/>
              <w:rPr>
                <w:rFonts w:eastAsia="Times New Roman" w:cstheme="minorHAnsi"/>
                <w:color w:val="000000"/>
                <w:kern w:val="24"/>
              </w:rPr>
            </w:pPr>
            <w:r w:rsidRPr="00434B60">
              <w:rPr>
                <w:rFonts w:eastAsia="Times New Roman" w:cstheme="minorHAnsi"/>
                <w:color w:val="000000"/>
                <w:kern w:val="24"/>
              </w:rPr>
              <w:t>Want to make the most of development cooperation</w:t>
            </w:r>
          </w:p>
          <w:p w:rsidR="00423413" w:rsidRPr="00434B60" w:rsidRDefault="00423413" w:rsidP="00430DD0">
            <w:pPr>
              <w:pStyle w:val="ListParagraph"/>
              <w:numPr>
                <w:ilvl w:val="0"/>
                <w:numId w:val="2"/>
              </w:numPr>
              <w:tabs>
                <w:tab w:val="left" w:pos="190"/>
              </w:tabs>
              <w:spacing w:after="0"/>
              <w:rPr>
                <w:rFonts w:eastAsia="Times New Roman" w:cstheme="minorHAnsi"/>
                <w:color w:val="000000"/>
                <w:kern w:val="24"/>
              </w:rPr>
            </w:pPr>
            <w:r w:rsidRPr="00434B60">
              <w:rPr>
                <w:rFonts w:eastAsia="Times New Roman" w:cstheme="minorHAnsi"/>
                <w:color w:val="000000"/>
                <w:kern w:val="24"/>
              </w:rPr>
              <w:t>Should follow EDC principles</w:t>
            </w:r>
          </w:p>
        </w:tc>
        <w:tc>
          <w:tcPr>
            <w:tcW w:w="693" w:type="pct"/>
            <w:tcBorders>
              <w:top w:val="single" w:sz="8" w:space="0" w:color="000000"/>
              <w:left w:val="single" w:sz="8" w:space="0" w:color="000000"/>
              <w:bottom w:val="single" w:sz="8" w:space="0" w:color="000000"/>
              <w:right w:val="single" w:sz="8" w:space="0" w:color="000000"/>
            </w:tcBorders>
            <w:shd w:val="clear" w:color="auto" w:fill="E46C0A"/>
            <w:tcMar>
              <w:top w:w="15" w:type="dxa"/>
              <w:left w:w="34" w:type="dxa"/>
              <w:bottom w:w="0" w:type="dxa"/>
              <w:right w:w="34" w:type="dxa"/>
            </w:tcMar>
            <w:hideMark/>
          </w:tcPr>
          <w:p w:rsidR="00423413" w:rsidRPr="00434B60" w:rsidRDefault="00423413" w:rsidP="00430DD0">
            <w:pPr>
              <w:spacing w:after="0"/>
              <w:rPr>
                <w:rFonts w:eastAsia="Times New Roman" w:cstheme="minorHAnsi"/>
              </w:rPr>
            </w:pPr>
            <w:r w:rsidRPr="00434B60">
              <w:rPr>
                <w:rFonts w:eastAsia="Times New Roman" w:cstheme="minorHAnsi"/>
                <w:color w:val="000000"/>
                <w:kern w:val="24"/>
              </w:rPr>
              <w:t>No, unless present locally as a major donor</w:t>
            </w:r>
          </w:p>
        </w:tc>
        <w:tc>
          <w:tcPr>
            <w:tcW w:w="830" w:type="pct"/>
            <w:tcBorders>
              <w:top w:val="single" w:sz="8" w:space="0" w:color="000000"/>
              <w:left w:val="single" w:sz="8" w:space="0" w:color="000000"/>
              <w:bottom w:val="single" w:sz="8" w:space="0" w:color="000000"/>
              <w:right w:val="single" w:sz="8" w:space="0" w:color="000000"/>
            </w:tcBorders>
            <w:shd w:val="clear" w:color="auto" w:fill="E46C0A"/>
            <w:tcMar>
              <w:top w:w="15" w:type="dxa"/>
              <w:left w:w="34" w:type="dxa"/>
              <w:bottom w:w="0" w:type="dxa"/>
              <w:right w:w="34" w:type="dxa"/>
            </w:tcMar>
            <w:hideMark/>
          </w:tcPr>
          <w:p w:rsidR="00423413" w:rsidRPr="00434B60" w:rsidRDefault="00423413" w:rsidP="00430DD0">
            <w:pPr>
              <w:spacing w:after="0"/>
              <w:rPr>
                <w:rFonts w:eastAsia="Times New Roman" w:cstheme="minorHAnsi"/>
              </w:rPr>
            </w:pPr>
            <w:r w:rsidRPr="00434B60">
              <w:rPr>
                <w:rFonts w:eastAsia="Times New Roman" w:cstheme="minorHAnsi"/>
                <w:color w:val="000000"/>
                <w:kern w:val="24"/>
              </w:rPr>
              <w:t>No, already represented, so not a step forward</w:t>
            </w:r>
          </w:p>
        </w:tc>
        <w:tc>
          <w:tcPr>
            <w:tcW w:w="623" w:type="pct"/>
            <w:tcBorders>
              <w:top w:val="single" w:sz="8" w:space="0" w:color="000000"/>
              <w:left w:val="single" w:sz="8" w:space="0" w:color="000000"/>
              <w:bottom w:val="single" w:sz="8" w:space="0" w:color="000000"/>
              <w:right w:val="single" w:sz="8" w:space="0" w:color="000000"/>
            </w:tcBorders>
            <w:shd w:val="clear" w:color="auto" w:fill="FFFF00"/>
            <w:tcMar>
              <w:top w:w="15" w:type="dxa"/>
              <w:left w:w="34" w:type="dxa"/>
              <w:bottom w:w="0" w:type="dxa"/>
              <w:right w:w="34" w:type="dxa"/>
            </w:tcMar>
            <w:hideMark/>
          </w:tcPr>
          <w:p w:rsidR="00423413" w:rsidRPr="00434B60" w:rsidRDefault="00423413" w:rsidP="00430DD0">
            <w:pPr>
              <w:spacing w:after="0"/>
              <w:rPr>
                <w:rFonts w:eastAsia="Times New Roman" w:cstheme="minorHAnsi"/>
              </w:rPr>
            </w:pPr>
            <w:r w:rsidRPr="00434B60">
              <w:rPr>
                <w:rFonts w:eastAsia="Times New Roman" w:cstheme="minorHAnsi"/>
                <w:color w:val="000000"/>
                <w:kern w:val="24"/>
                <w:lang w:val="en-US"/>
              </w:rPr>
              <w:t>Medium</w:t>
            </w:r>
          </w:p>
        </w:tc>
      </w:tr>
      <w:tr w:rsidR="00423413" w:rsidRPr="00434B60" w:rsidTr="00430DD0">
        <w:trPr>
          <w:trHeight w:val="965"/>
        </w:trPr>
        <w:tc>
          <w:tcPr>
            <w:tcW w:w="1400" w:type="pct"/>
            <w:tcBorders>
              <w:top w:val="single" w:sz="8" w:space="0" w:color="000000"/>
              <w:left w:val="single" w:sz="8" w:space="0" w:color="000000"/>
              <w:bottom w:val="single" w:sz="8" w:space="0" w:color="000000"/>
              <w:right w:val="single" w:sz="8" w:space="0" w:color="000000"/>
            </w:tcBorders>
            <w:shd w:val="clear" w:color="auto" w:fill="4F81BD"/>
            <w:tcMar>
              <w:top w:w="15" w:type="dxa"/>
              <w:left w:w="34" w:type="dxa"/>
              <w:bottom w:w="0" w:type="dxa"/>
              <w:right w:w="34" w:type="dxa"/>
            </w:tcMar>
            <w:hideMark/>
          </w:tcPr>
          <w:p w:rsidR="00423413" w:rsidRPr="00434B60" w:rsidRDefault="00423413" w:rsidP="00430DD0">
            <w:pPr>
              <w:pStyle w:val="ListParagraph"/>
              <w:numPr>
                <w:ilvl w:val="0"/>
                <w:numId w:val="2"/>
              </w:numPr>
              <w:tabs>
                <w:tab w:val="clear" w:pos="360"/>
                <w:tab w:val="num" w:pos="142"/>
                <w:tab w:val="left" w:pos="190"/>
              </w:tabs>
              <w:spacing w:after="0"/>
              <w:rPr>
                <w:rFonts w:eastAsia="Times New Roman" w:cstheme="minorHAnsi"/>
                <w:color w:val="000000"/>
                <w:kern w:val="24"/>
              </w:rPr>
            </w:pPr>
            <w:r w:rsidRPr="00434B60">
              <w:rPr>
                <w:rFonts w:eastAsia="Times New Roman" w:cstheme="minorHAnsi"/>
                <w:color w:val="000000"/>
                <w:kern w:val="24"/>
              </w:rPr>
              <w:t>TA providers (e.g. MSH, PWC)</w:t>
            </w:r>
          </w:p>
        </w:tc>
        <w:tc>
          <w:tcPr>
            <w:tcW w:w="1454" w:type="pct"/>
            <w:tcBorders>
              <w:top w:val="single" w:sz="8" w:space="0" w:color="000000"/>
              <w:left w:val="single" w:sz="8" w:space="0" w:color="000000"/>
              <w:bottom w:val="single" w:sz="8" w:space="0" w:color="000000"/>
              <w:right w:val="single" w:sz="8" w:space="0" w:color="000000"/>
            </w:tcBorders>
            <w:shd w:val="clear" w:color="auto" w:fill="auto"/>
            <w:tcMar>
              <w:top w:w="15" w:type="dxa"/>
              <w:left w:w="34" w:type="dxa"/>
              <w:bottom w:w="0" w:type="dxa"/>
              <w:right w:w="34" w:type="dxa"/>
            </w:tcMar>
            <w:hideMark/>
          </w:tcPr>
          <w:p w:rsidR="00423413" w:rsidRPr="00434B60" w:rsidRDefault="00423413" w:rsidP="00430DD0">
            <w:pPr>
              <w:pStyle w:val="ListParagraph"/>
              <w:numPr>
                <w:ilvl w:val="0"/>
                <w:numId w:val="2"/>
              </w:numPr>
              <w:tabs>
                <w:tab w:val="left" w:pos="190"/>
              </w:tabs>
              <w:spacing w:after="0"/>
              <w:rPr>
                <w:rFonts w:eastAsia="Times New Roman" w:cstheme="minorHAnsi"/>
                <w:color w:val="000000"/>
                <w:kern w:val="24"/>
              </w:rPr>
            </w:pPr>
            <w:r w:rsidRPr="00434B60">
              <w:rPr>
                <w:rFonts w:eastAsia="Times New Roman" w:cstheme="minorHAnsi"/>
                <w:color w:val="000000"/>
                <w:kern w:val="24"/>
              </w:rPr>
              <w:t>Want to continue support</w:t>
            </w:r>
          </w:p>
          <w:p w:rsidR="00423413" w:rsidRPr="00434B60" w:rsidRDefault="00423413" w:rsidP="00430DD0">
            <w:pPr>
              <w:pStyle w:val="ListParagraph"/>
              <w:numPr>
                <w:ilvl w:val="0"/>
                <w:numId w:val="2"/>
              </w:numPr>
              <w:tabs>
                <w:tab w:val="clear" w:pos="360"/>
                <w:tab w:val="left" w:pos="190"/>
                <w:tab w:val="num" w:pos="221"/>
              </w:tabs>
              <w:spacing w:after="0"/>
              <w:ind w:left="221" w:hanging="221"/>
              <w:rPr>
                <w:rFonts w:eastAsia="Times New Roman" w:cstheme="minorHAnsi"/>
                <w:color w:val="000000"/>
                <w:kern w:val="24"/>
              </w:rPr>
            </w:pPr>
            <w:r w:rsidRPr="00434B60">
              <w:rPr>
                <w:rFonts w:eastAsia="Times New Roman" w:cstheme="minorHAnsi"/>
                <w:color w:val="000000"/>
                <w:kern w:val="24"/>
              </w:rPr>
              <w:t xml:space="preserve">May be in competition with strengthening national systems. </w:t>
            </w:r>
          </w:p>
        </w:tc>
        <w:tc>
          <w:tcPr>
            <w:tcW w:w="693" w:type="pct"/>
            <w:tcBorders>
              <w:top w:val="single" w:sz="8" w:space="0" w:color="000000"/>
              <w:left w:val="single" w:sz="8" w:space="0" w:color="000000"/>
              <w:bottom w:val="single" w:sz="8" w:space="0" w:color="000000"/>
              <w:right w:val="single" w:sz="8" w:space="0" w:color="000000"/>
            </w:tcBorders>
            <w:shd w:val="clear" w:color="auto" w:fill="E46C0A"/>
            <w:tcMar>
              <w:top w:w="15" w:type="dxa"/>
              <w:left w:w="34" w:type="dxa"/>
              <w:bottom w:w="0" w:type="dxa"/>
              <w:right w:w="34" w:type="dxa"/>
            </w:tcMar>
            <w:hideMark/>
          </w:tcPr>
          <w:p w:rsidR="00423413" w:rsidRPr="00434B60" w:rsidRDefault="00423413" w:rsidP="00430DD0">
            <w:pPr>
              <w:spacing w:after="0"/>
              <w:rPr>
                <w:rFonts w:eastAsia="Times New Roman" w:cstheme="minorHAnsi"/>
              </w:rPr>
            </w:pPr>
            <w:r w:rsidRPr="00434B60">
              <w:rPr>
                <w:rFonts w:eastAsia="Times New Roman" w:cstheme="minorHAnsi"/>
                <w:color w:val="000000"/>
                <w:kern w:val="24"/>
              </w:rPr>
              <w:t xml:space="preserve">No </w:t>
            </w:r>
          </w:p>
        </w:tc>
        <w:tc>
          <w:tcPr>
            <w:tcW w:w="830" w:type="pct"/>
            <w:tcBorders>
              <w:top w:val="single" w:sz="8" w:space="0" w:color="000000"/>
              <w:left w:val="single" w:sz="8" w:space="0" w:color="000000"/>
              <w:bottom w:val="single" w:sz="8" w:space="0" w:color="000000"/>
              <w:right w:val="single" w:sz="8" w:space="0" w:color="000000"/>
            </w:tcBorders>
            <w:shd w:val="clear" w:color="auto" w:fill="E46C0A"/>
            <w:tcMar>
              <w:top w:w="15" w:type="dxa"/>
              <w:left w:w="34" w:type="dxa"/>
              <w:bottom w:w="0" w:type="dxa"/>
              <w:right w:w="34" w:type="dxa"/>
            </w:tcMar>
            <w:hideMark/>
          </w:tcPr>
          <w:p w:rsidR="00423413" w:rsidRPr="00434B60" w:rsidRDefault="00423413" w:rsidP="00430DD0">
            <w:pPr>
              <w:spacing w:after="0"/>
              <w:rPr>
                <w:rFonts w:eastAsia="Times New Roman" w:cstheme="minorHAnsi"/>
              </w:rPr>
            </w:pPr>
            <w:r w:rsidRPr="00434B60">
              <w:rPr>
                <w:rFonts w:eastAsia="Times New Roman" w:cstheme="minorHAnsi"/>
                <w:color w:val="000000"/>
                <w:kern w:val="24"/>
              </w:rPr>
              <w:t>No</w:t>
            </w:r>
          </w:p>
        </w:tc>
        <w:tc>
          <w:tcPr>
            <w:tcW w:w="623" w:type="pct"/>
            <w:tcBorders>
              <w:top w:val="single" w:sz="8" w:space="0" w:color="000000"/>
              <w:left w:val="single" w:sz="8" w:space="0" w:color="000000"/>
              <w:bottom w:val="single" w:sz="8" w:space="0" w:color="000000"/>
              <w:right w:val="single" w:sz="8" w:space="0" w:color="000000"/>
            </w:tcBorders>
            <w:shd w:val="clear" w:color="auto" w:fill="92D050"/>
            <w:tcMar>
              <w:top w:w="15" w:type="dxa"/>
              <w:left w:w="34" w:type="dxa"/>
              <w:bottom w:w="0" w:type="dxa"/>
              <w:right w:w="34" w:type="dxa"/>
            </w:tcMar>
            <w:hideMark/>
          </w:tcPr>
          <w:p w:rsidR="00423413" w:rsidRPr="00434B60" w:rsidRDefault="00423413" w:rsidP="00430DD0">
            <w:pPr>
              <w:spacing w:after="0"/>
              <w:rPr>
                <w:rFonts w:eastAsia="Times New Roman" w:cstheme="minorHAnsi"/>
              </w:rPr>
            </w:pPr>
            <w:r w:rsidRPr="00434B60">
              <w:rPr>
                <w:rFonts w:eastAsia="Times New Roman" w:cstheme="minorHAnsi"/>
                <w:color w:val="000000"/>
                <w:kern w:val="24"/>
                <w:lang w:val="en-US"/>
              </w:rPr>
              <w:t>High</w:t>
            </w:r>
          </w:p>
        </w:tc>
      </w:tr>
    </w:tbl>
    <w:p w:rsidR="00964A12" w:rsidRDefault="00964A12" w:rsidP="00964A12">
      <w:pPr>
        <w:ind w:left="-426"/>
        <w:rPr>
          <w:rFonts w:cstheme="minorHAnsi"/>
          <w:sz w:val="20"/>
          <w:szCs w:val="20"/>
        </w:rPr>
      </w:pPr>
      <w:r w:rsidRPr="00434B60">
        <w:rPr>
          <w:rFonts w:cstheme="minorHAnsi"/>
          <w:sz w:val="20"/>
          <w:szCs w:val="20"/>
          <w:lang w:val="en-US"/>
        </w:rPr>
        <w:t xml:space="preserve">Source: </w:t>
      </w:r>
      <w:r w:rsidRPr="00434B60">
        <w:rPr>
          <w:rFonts w:cstheme="minorHAnsi"/>
          <w:sz w:val="20"/>
          <w:szCs w:val="20"/>
        </w:rPr>
        <w:t>Slightly modified presentation by Kamiar Khajavi for the IAWG meeting in Brussels, 18</w:t>
      </w:r>
      <w:r w:rsidRPr="00434B60">
        <w:rPr>
          <w:rFonts w:cstheme="minorHAnsi"/>
          <w:sz w:val="20"/>
          <w:szCs w:val="20"/>
          <w:vertAlign w:val="superscript"/>
        </w:rPr>
        <w:t>th</w:t>
      </w:r>
      <w:r w:rsidRPr="00434B60">
        <w:rPr>
          <w:rFonts w:cstheme="minorHAnsi"/>
          <w:sz w:val="20"/>
          <w:szCs w:val="20"/>
        </w:rPr>
        <w:t xml:space="preserve"> to 19</w:t>
      </w:r>
      <w:r w:rsidRPr="00434B60">
        <w:rPr>
          <w:rFonts w:cstheme="minorHAnsi"/>
          <w:sz w:val="20"/>
          <w:szCs w:val="20"/>
          <w:vertAlign w:val="superscript"/>
        </w:rPr>
        <w:t>th</w:t>
      </w:r>
      <w:r w:rsidRPr="00434B60">
        <w:rPr>
          <w:rFonts w:cstheme="minorHAnsi"/>
          <w:sz w:val="20"/>
          <w:szCs w:val="20"/>
        </w:rPr>
        <w:t xml:space="preserve"> June 2015. It will</w:t>
      </w:r>
      <w:r>
        <w:rPr>
          <w:rFonts w:cstheme="minorHAnsi"/>
          <w:sz w:val="20"/>
          <w:szCs w:val="20"/>
        </w:rPr>
        <w:t xml:space="preserve"> </w:t>
      </w:r>
      <w:r w:rsidRPr="00434B60">
        <w:rPr>
          <w:rFonts w:cstheme="minorHAnsi"/>
          <w:sz w:val="20"/>
          <w:szCs w:val="20"/>
        </w:rPr>
        <w:t>not be included in the final IHP+ strategy document, but included here for the information of the Steering Committee.</w:t>
      </w:r>
    </w:p>
    <w:p w:rsidR="00434B60" w:rsidRPr="00434B60" w:rsidRDefault="00434B60" w:rsidP="00434B60">
      <w:pPr>
        <w:ind w:left="-284"/>
        <w:rPr>
          <w:rFonts w:cstheme="minorHAnsi"/>
        </w:rPr>
      </w:pPr>
    </w:p>
    <w:sectPr w:rsidR="00434B60" w:rsidRPr="00434B60" w:rsidSect="00964A12">
      <w:headerReference w:type="default" r:id="rId9"/>
      <w:footerReference w:type="default" r:id="rId10"/>
      <w:pgSz w:w="11906" w:h="16838"/>
      <w:pgMar w:top="627" w:right="849" w:bottom="142"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B3" w:rsidRDefault="00956BB3" w:rsidP="00434B60">
      <w:pPr>
        <w:spacing w:after="0" w:line="240" w:lineRule="auto"/>
      </w:pPr>
      <w:r>
        <w:separator/>
      </w:r>
    </w:p>
  </w:endnote>
  <w:endnote w:type="continuationSeparator" w:id="0">
    <w:p w:rsidR="00956BB3" w:rsidRDefault="00956BB3" w:rsidP="0043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1BC200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01236"/>
      <w:docPartObj>
        <w:docPartGallery w:val="Page Numbers (Bottom of Page)"/>
        <w:docPartUnique/>
      </w:docPartObj>
    </w:sdtPr>
    <w:sdtEndPr>
      <w:rPr>
        <w:noProof/>
      </w:rPr>
    </w:sdtEndPr>
    <w:sdtContent>
      <w:p w:rsidR="00964A12" w:rsidRDefault="00964A12">
        <w:pPr>
          <w:pStyle w:val="Footer"/>
          <w:jc w:val="center"/>
        </w:pPr>
        <w:r>
          <w:fldChar w:fldCharType="begin"/>
        </w:r>
        <w:r>
          <w:instrText xml:space="preserve"> PAGE   \* MERGEFORMAT </w:instrText>
        </w:r>
        <w:r>
          <w:fldChar w:fldCharType="separate"/>
        </w:r>
        <w:r w:rsidR="00F07C7C">
          <w:rPr>
            <w:noProof/>
          </w:rPr>
          <w:t>1</w:t>
        </w:r>
        <w:r>
          <w:rPr>
            <w:noProof/>
          </w:rPr>
          <w:fldChar w:fldCharType="end"/>
        </w:r>
      </w:p>
    </w:sdtContent>
  </w:sdt>
  <w:p w:rsidR="00964A12" w:rsidRDefault="00964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B3" w:rsidRDefault="00956BB3" w:rsidP="00434B60">
      <w:pPr>
        <w:spacing w:after="0" w:line="240" w:lineRule="auto"/>
      </w:pPr>
      <w:r>
        <w:separator/>
      </w:r>
    </w:p>
  </w:footnote>
  <w:footnote w:type="continuationSeparator" w:id="0">
    <w:p w:rsidR="00956BB3" w:rsidRDefault="00956BB3" w:rsidP="00434B60">
      <w:pPr>
        <w:spacing w:after="0" w:line="240" w:lineRule="auto"/>
      </w:pPr>
      <w:r>
        <w:continuationSeparator/>
      </w:r>
    </w:p>
  </w:footnote>
  <w:footnote w:id="1">
    <w:p w:rsidR="00824DB9" w:rsidRPr="004A62EE" w:rsidRDefault="00824DB9" w:rsidP="00824DB9">
      <w:pPr>
        <w:pStyle w:val="FootnoteText"/>
        <w:rPr>
          <w:rFonts w:ascii="Calibri" w:hAnsi="Calibri" w:cs="Calibri"/>
          <w:lang w:val="en-US"/>
        </w:rPr>
      </w:pPr>
      <w:r w:rsidRPr="004A62EE">
        <w:rPr>
          <w:rStyle w:val="FootnoteReference"/>
          <w:rFonts w:ascii="Calibri" w:hAnsi="Calibri" w:cs="Calibri"/>
        </w:rPr>
        <w:footnoteRef/>
      </w:r>
      <w:r w:rsidRPr="004A62EE">
        <w:rPr>
          <w:rFonts w:ascii="Calibri" w:hAnsi="Calibri" w:cs="Calibri"/>
        </w:rPr>
        <w:t xml:space="preserve"> </w:t>
      </w:r>
      <w:r>
        <w:rPr>
          <w:rFonts w:ascii="Calibri" w:hAnsi="Calibri" w:cs="Calibri"/>
          <w:lang w:val="en-US"/>
        </w:rPr>
        <w:t>For convenience, t</w:t>
      </w:r>
      <w:r w:rsidRPr="004A62EE">
        <w:rPr>
          <w:rFonts w:ascii="Calibri" w:hAnsi="Calibri" w:cs="Calibri"/>
          <w:lang w:val="en-US"/>
        </w:rPr>
        <w:t>his</w:t>
      </w:r>
      <w:r>
        <w:rPr>
          <w:rFonts w:ascii="Calibri" w:hAnsi="Calibri" w:cs="Calibri"/>
          <w:lang w:val="en-US"/>
        </w:rPr>
        <w:t xml:space="preserve"> term includes the UN agencies; development banks; </w:t>
      </w:r>
      <w:r w:rsidRPr="004A62EE">
        <w:rPr>
          <w:rFonts w:ascii="Calibri" w:hAnsi="Calibri" w:cs="Calibri"/>
          <w:lang w:val="en-US"/>
        </w:rPr>
        <w:t>GAVI</w:t>
      </w:r>
      <w:r>
        <w:rPr>
          <w:rFonts w:ascii="Calibri" w:hAnsi="Calibri" w:cs="Calibri"/>
          <w:lang w:val="en-US"/>
        </w:rPr>
        <w:t xml:space="preserve"> and</w:t>
      </w:r>
      <w:r w:rsidRPr="004A62EE">
        <w:rPr>
          <w:rFonts w:ascii="Calibri" w:hAnsi="Calibri" w:cs="Calibri"/>
          <w:lang w:val="en-US"/>
        </w:rPr>
        <w:t xml:space="preserve"> the Global 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B9" w:rsidRPr="00DD6764" w:rsidRDefault="00824DB9" w:rsidP="00824DB9">
    <w:pPr>
      <w:pStyle w:val="Footer"/>
      <w:jc w:val="right"/>
    </w:pPr>
    <w:r>
      <w:rPr>
        <w:noProof/>
      </w:rPr>
      <w:drawing>
        <wp:inline distT="0" distB="0" distL="0" distR="0" wp14:anchorId="420E30A7" wp14:editId="44350892">
          <wp:extent cx="1219200" cy="514350"/>
          <wp:effectExtent l="0" t="0" r="0" b="0"/>
          <wp:docPr id="1" name="Picture 1" descr="ihp_logo_BlueGreen_no_tagl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hp_logo_BlueGreen_no_tagl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14350"/>
                  </a:xfrm>
                  <a:prstGeom prst="rect">
                    <a:avLst/>
                  </a:prstGeom>
                  <a:noFill/>
                  <a:ln>
                    <a:noFill/>
                  </a:ln>
                </pic:spPr>
              </pic:pic>
            </a:graphicData>
          </a:graphic>
        </wp:inline>
      </w:drawing>
    </w:r>
  </w:p>
  <w:p w:rsidR="00824DB9" w:rsidRDefault="00824DB9" w:rsidP="00423413">
    <w:pPr>
      <w:pStyle w:val="Header"/>
      <w:tabs>
        <w:tab w:val="clear" w:pos="4513"/>
        <w:tab w:val="clear" w:pos="9026"/>
        <w:tab w:val="left" w:pos="-567"/>
      </w:tabs>
      <w:ind w:left="-426" w:hanging="14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F64"/>
    <w:multiLevelType w:val="hybridMultilevel"/>
    <w:tmpl w:val="642A3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911D98"/>
    <w:multiLevelType w:val="hybridMultilevel"/>
    <w:tmpl w:val="EBBE5A0A"/>
    <w:lvl w:ilvl="0" w:tplc="64E646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311A43"/>
    <w:multiLevelType w:val="hybridMultilevel"/>
    <w:tmpl w:val="B8D8BC2C"/>
    <w:lvl w:ilvl="0" w:tplc="64E646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BC82ED9"/>
    <w:multiLevelType w:val="hybridMultilevel"/>
    <w:tmpl w:val="DF0C7980"/>
    <w:lvl w:ilvl="0" w:tplc="64E646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40F4770"/>
    <w:multiLevelType w:val="hybridMultilevel"/>
    <w:tmpl w:val="A81EFC5C"/>
    <w:lvl w:ilvl="0" w:tplc="CE5A11BC">
      <w:start w:val="183"/>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5644BB2"/>
    <w:multiLevelType w:val="hybridMultilevel"/>
    <w:tmpl w:val="6E3C874E"/>
    <w:lvl w:ilvl="0" w:tplc="043859BE">
      <w:start w:val="183"/>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723C3962"/>
    <w:multiLevelType w:val="hybridMultilevel"/>
    <w:tmpl w:val="37B68CA0"/>
    <w:lvl w:ilvl="0" w:tplc="64E646A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ron">
    <w15:presenceInfo w15:providerId="None" w15:userId="V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43"/>
    <w:rsid w:val="0006043A"/>
    <w:rsid w:val="000D6396"/>
    <w:rsid w:val="00113CD6"/>
    <w:rsid w:val="00176721"/>
    <w:rsid w:val="001C6DA5"/>
    <w:rsid w:val="00252543"/>
    <w:rsid w:val="002660F7"/>
    <w:rsid w:val="00423413"/>
    <w:rsid w:val="00434B60"/>
    <w:rsid w:val="00511FF4"/>
    <w:rsid w:val="00522456"/>
    <w:rsid w:val="0056037E"/>
    <w:rsid w:val="00574AC8"/>
    <w:rsid w:val="00592763"/>
    <w:rsid w:val="005C0090"/>
    <w:rsid w:val="0065164C"/>
    <w:rsid w:val="006708BD"/>
    <w:rsid w:val="007019EB"/>
    <w:rsid w:val="0070792A"/>
    <w:rsid w:val="0071080F"/>
    <w:rsid w:val="00736D2B"/>
    <w:rsid w:val="00824DB9"/>
    <w:rsid w:val="00844443"/>
    <w:rsid w:val="008A20E6"/>
    <w:rsid w:val="008E50A4"/>
    <w:rsid w:val="00956BB3"/>
    <w:rsid w:val="00964A12"/>
    <w:rsid w:val="009B2013"/>
    <w:rsid w:val="009B5FEF"/>
    <w:rsid w:val="009C50D4"/>
    <w:rsid w:val="00A11CB3"/>
    <w:rsid w:val="00A55C75"/>
    <w:rsid w:val="00B018DE"/>
    <w:rsid w:val="00B407B3"/>
    <w:rsid w:val="00B448CB"/>
    <w:rsid w:val="00BB312B"/>
    <w:rsid w:val="00CA2585"/>
    <w:rsid w:val="00CB4C5E"/>
    <w:rsid w:val="00E153FA"/>
    <w:rsid w:val="00E65537"/>
    <w:rsid w:val="00E83B8C"/>
    <w:rsid w:val="00F07C7C"/>
    <w:rsid w:val="00FF17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34B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DE"/>
    <w:pPr>
      <w:ind w:left="720"/>
      <w:contextualSpacing/>
    </w:pPr>
  </w:style>
  <w:style w:type="paragraph" w:styleId="BalloonText">
    <w:name w:val="Balloon Text"/>
    <w:basedOn w:val="Normal"/>
    <w:link w:val="BalloonTextChar"/>
    <w:uiPriority w:val="99"/>
    <w:semiHidden/>
    <w:unhideWhenUsed/>
    <w:rsid w:val="001C6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A5"/>
    <w:rPr>
      <w:rFonts w:ascii="Tahoma" w:hAnsi="Tahoma" w:cs="Tahoma"/>
      <w:sz w:val="16"/>
      <w:szCs w:val="16"/>
    </w:rPr>
  </w:style>
  <w:style w:type="character" w:styleId="CommentReference">
    <w:name w:val="annotation reference"/>
    <w:basedOn w:val="DefaultParagraphFont"/>
    <w:uiPriority w:val="99"/>
    <w:semiHidden/>
    <w:unhideWhenUsed/>
    <w:rsid w:val="001C6DA5"/>
    <w:rPr>
      <w:sz w:val="16"/>
      <w:szCs w:val="16"/>
    </w:rPr>
  </w:style>
  <w:style w:type="paragraph" w:styleId="CommentText">
    <w:name w:val="annotation text"/>
    <w:basedOn w:val="Normal"/>
    <w:link w:val="CommentTextChar"/>
    <w:uiPriority w:val="99"/>
    <w:semiHidden/>
    <w:unhideWhenUsed/>
    <w:rsid w:val="001C6DA5"/>
    <w:pPr>
      <w:spacing w:line="240" w:lineRule="auto"/>
    </w:pPr>
    <w:rPr>
      <w:sz w:val="20"/>
      <w:szCs w:val="20"/>
    </w:rPr>
  </w:style>
  <w:style w:type="character" w:customStyle="1" w:styleId="CommentTextChar">
    <w:name w:val="Comment Text Char"/>
    <w:basedOn w:val="DefaultParagraphFont"/>
    <w:link w:val="CommentText"/>
    <w:uiPriority w:val="99"/>
    <w:semiHidden/>
    <w:rsid w:val="001C6DA5"/>
    <w:rPr>
      <w:sz w:val="20"/>
      <w:szCs w:val="20"/>
    </w:rPr>
  </w:style>
  <w:style w:type="paragraph" w:styleId="CommentSubject">
    <w:name w:val="annotation subject"/>
    <w:basedOn w:val="CommentText"/>
    <w:next w:val="CommentText"/>
    <w:link w:val="CommentSubjectChar"/>
    <w:uiPriority w:val="99"/>
    <w:semiHidden/>
    <w:unhideWhenUsed/>
    <w:rsid w:val="001C6DA5"/>
    <w:rPr>
      <w:b/>
      <w:bCs/>
    </w:rPr>
  </w:style>
  <w:style w:type="character" w:customStyle="1" w:styleId="CommentSubjectChar">
    <w:name w:val="Comment Subject Char"/>
    <w:basedOn w:val="CommentTextChar"/>
    <w:link w:val="CommentSubject"/>
    <w:uiPriority w:val="99"/>
    <w:semiHidden/>
    <w:rsid w:val="001C6DA5"/>
    <w:rPr>
      <w:b/>
      <w:bCs/>
      <w:sz w:val="20"/>
      <w:szCs w:val="20"/>
    </w:rPr>
  </w:style>
  <w:style w:type="paragraph" w:styleId="Revision">
    <w:name w:val="Revision"/>
    <w:hidden/>
    <w:uiPriority w:val="99"/>
    <w:semiHidden/>
    <w:rsid w:val="0070792A"/>
    <w:pPr>
      <w:spacing w:after="0" w:line="240" w:lineRule="auto"/>
    </w:pPr>
  </w:style>
  <w:style w:type="character" w:customStyle="1" w:styleId="Heading2Char">
    <w:name w:val="Heading 2 Char"/>
    <w:basedOn w:val="DefaultParagraphFont"/>
    <w:link w:val="Heading2"/>
    <w:uiPriority w:val="9"/>
    <w:rsid w:val="00434B6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34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B60"/>
  </w:style>
  <w:style w:type="paragraph" w:styleId="Footer">
    <w:name w:val="footer"/>
    <w:basedOn w:val="Normal"/>
    <w:link w:val="FooterChar"/>
    <w:uiPriority w:val="99"/>
    <w:unhideWhenUsed/>
    <w:rsid w:val="00434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B60"/>
  </w:style>
  <w:style w:type="paragraph" w:styleId="FootnoteText">
    <w:name w:val="footnote text"/>
    <w:basedOn w:val="Normal"/>
    <w:link w:val="FootnoteTextChar"/>
    <w:uiPriority w:val="99"/>
    <w:semiHidden/>
    <w:unhideWhenUsed/>
    <w:rsid w:val="00824DB9"/>
    <w:pPr>
      <w:spacing w:after="0" w:line="240" w:lineRule="auto"/>
    </w:pPr>
    <w:rPr>
      <w:rFonts w:ascii="Times New Roman" w:eastAsia="SimSu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824DB9"/>
    <w:rPr>
      <w:rFonts w:ascii="Times New Roman" w:eastAsia="SimSun" w:hAnsi="Times New Roman" w:cs="Times New Roman"/>
      <w:sz w:val="20"/>
      <w:szCs w:val="20"/>
      <w:lang w:val="x-none"/>
    </w:rPr>
  </w:style>
  <w:style w:type="character" w:styleId="FootnoteReference">
    <w:name w:val="footnote reference"/>
    <w:uiPriority w:val="99"/>
    <w:semiHidden/>
    <w:unhideWhenUsed/>
    <w:rsid w:val="00824D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34B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DE"/>
    <w:pPr>
      <w:ind w:left="720"/>
      <w:contextualSpacing/>
    </w:pPr>
  </w:style>
  <w:style w:type="paragraph" w:styleId="BalloonText">
    <w:name w:val="Balloon Text"/>
    <w:basedOn w:val="Normal"/>
    <w:link w:val="BalloonTextChar"/>
    <w:uiPriority w:val="99"/>
    <w:semiHidden/>
    <w:unhideWhenUsed/>
    <w:rsid w:val="001C6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A5"/>
    <w:rPr>
      <w:rFonts w:ascii="Tahoma" w:hAnsi="Tahoma" w:cs="Tahoma"/>
      <w:sz w:val="16"/>
      <w:szCs w:val="16"/>
    </w:rPr>
  </w:style>
  <w:style w:type="character" w:styleId="CommentReference">
    <w:name w:val="annotation reference"/>
    <w:basedOn w:val="DefaultParagraphFont"/>
    <w:uiPriority w:val="99"/>
    <w:semiHidden/>
    <w:unhideWhenUsed/>
    <w:rsid w:val="001C6DA5"/>
    <w:rPr>
      <w:sz w:val="16"/>
      <w:szCs w:val="16"/>
    </w:rPr>
  </w:style>
  <w:style w:type="paragraph" w:styleId="CommentText">
    <w:name w:val="annotation text"/>
    <w:basedOn w:val="Normal"/>
    <w:link w:val="CommentTextChar"/>
    <w:uiPriority w:val="99"/>
    <w:semiHidden/>
    <w:unhideWhenUsed/>
    <w:rsid w:val="001C6DA5"/>
    <w:pPr>
      <w:spacing w:line="240" w:lineRule="auto"/>
    </w:pPr>
    <w:rPr>
      <w:sz w:val="20"/>
      <w:szCs w:val="20"/>
    </w:rPr>
  </w:style>
  <w:style w:type="character" w:customStyle="1" w:styleId="CommentTextChar">
    <w:name w:val="Comment Text Char"/>
    <w:basedOn w:val="DefaultParagraphFont"/>
    <w:link w:val="CommentText"/>
    <w:uiPriority w:val="99"/>
    <w:semiHidden/>
    <w:rsid w:val="001C6DA5"/>
    <w:rPr>
      <w:sz w:val="20"/>
      <w:szCs w:val="20"/>
    </w:rPr>
  </w:style>
  <w:style w:type="paragraph" w:styleId="CommentSubject">
    <w:name w:val="annotation subject"/>
    <w:basedOn w:val="CommentText"/>
    <w:next w:val="CommentText"/>
    <w:link w:val="CommentSubjectChar"/>
    <w:uiPriority w:val="99"/>
    <w:semiHidden/>
    <w:unhideWhenUsed/>
    <w:rsid w:val="001C6DA5"/>
    <w:rPr>
      <w:b/>
      <w:bCs/>
    </w:rPr>
  </w:style>
  <w:style w:type="character" w:customStyle="1" w:styleId="CommentSubjectChar">
    <w:name w:val="Comment Subject Char"/>
    <w:basedOn w:val="CommentTextChar"/>
    <w:link w:val="CommentSubject"/>
    <w:uiPriority w:val="99"/>
    <w:semiHidden/>
    <w:rsid w:val="001C6DA5"/>
    <w:rPr>
      <w:b/>
      <w:bCs/>
      <w:sz w:val="20"/>
      <w:szCs w:val="20"/>
    </w:rPr>
  </w:style>
  <w:style w:type="paragraph" w:styleId="Revision">
    <w:name w:val="Revision"/>
    <w:hidden/>
    <w:uiPriority w:val="99"/>
    <w:semiHidden/>
    <w:rsid w:val="0070792A"/>
    <w:pPr>
      <w:spacing w:after="0" w:line="240" w:lineRule="auto"/>
    </w:pPr>
  </w:style>
  <w:style w:type="character" w:customStyle="1" w:styleId="Heading2Char">
    <w:name w:val="Heading 2 Char"/>
    <w:basedOn w:val="DefaultParagraphFont"/>
    <w:link w:val="Heading2"/>
    <w:uiPriority w:val="9"/>
    <w:rsid w:val="00434B6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34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B60"/>
  </w:style>
  <w:style w:type="paragraph" w:styleId="Footer">
    <w:name w:val="footer"/>
    <w:basedOn w:val="Normal"/>
    <w:link w:val="FooterChar"/>
    <w:uiPriority w:val="99"/>
    <w:unhideWhenUsed/>
    <w:rsid w:val="00434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B60"/>
  </w:style>
  <w:style w:type="paragraph" w:styleId="FootnoteText">
    <w:name w:val="footnote text"/>
    <w:basedOn w:val="Normal"/>
    <w:link w:val="FootnoteTextChar"/>
    <w:uiPriority w:val="99"/>
    <w:semiHidden/>
    <w:unhideWhenUsed/>
    <w:rsid w:val="00824DB9"/>
    <w:pPr>
      <w:spacing w:after="0" w:line="240" w:lineRule="auto"/>
    </w:pPr>
    <w:rPr>
      <w:rFonts w:ascii="Times New Roman" w:eastAsia="SimSu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824DB9"/>
    <w:rPr>
      <w:rFonts w:ascii="Times New Roman" w:eastAsia="SimSun" w:hAnsi="Times New Roman" w:cs="Times New Roman"/>
      <w:sz w:val="20"/>
      <w:szCs w:val="20"/>
      <w:lang w:val="x-none"/>
    </w:rPr>
  </w:style>
  <w:style w:type="character" w:styleId="FootnoteReference">
    <w:name w:val="footnote reference"/>
    <w:uiPriority w:val="99"/>
    <w:semiHidden/>
    <w:unhideWhenUsed/>
    <w:rsid w:val="00824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0398-5AB9-4D08-9DCE-CDE5B165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SCHLEIMANN, Finn</dc:creator>
  <cp:lastModifiedBy>SCHLEIMANN, Finn</cp:lastModifiedBy>
  <cp:revision>3</cp:revision>
  <dcterms:created xsi:type="dcterms:W3CDTF">2015-11-06T20:35:00Z</dcterms:created>
  <dcterms:modified xsi:type="dcterms:W3CDTF">2015-11-06T20:35:00Z</dcterms:modified>
</cp:coreProperties>
</file>