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27" w:rsidRPr="005A2F3C" w:rsidRDefault="008B529B" w:rsidP="00D40F9A">
      <w:pPr>
        <w:keepNext/>
        <w:keepLines/>
        <w:spacing w:before="120" w:after="0" w:line="240" w:lineRule="auto"/>
        <w:jc w:val="center"/>
        <w:outlineLvl w:val="0"/>
        <w:rPr>
          <w:rFonts w:ascii="Cambria" w:eastAsia="Helvetica" w:hAnsi="Cambria" w:cs="Helvetica"/>
          <w:b/>
          <w:bCs/>
          <w:color w:val="2C6F95"/>
          <w:sz w:val="28"/>
          <w:szCs w:val="28"/>
          <w:lang w:eastAsia="en-US"/>
        </w:rPr>
      </w:pPr>
      <w:r w:rsidRPr="005A2F3C">
        <w:rPr>
          <w:rFonts w:ascii="Cambria" w:eastAsia="Helvetica" w:hAnsi="Cambria" w:cs="Helvetica"/>
          <w:b/>
          <w:bCs/>
          <w:color w:val="2C6F95"/>
          <w:sz w:val="28"/>
          <w:szCs w:val="28"/>
          <w:lang w:eastAsia="en-US"/>
        </w:rPr>
        <w:t xml:space="preserve">UHC </w:t>
      </w:r>
      <w:r w:rsidR="004C0834">
        <w:rPr>
          <w:rFonts w:ascii="Cambria" w:eastAsia="Helvetica" w:hAnsi="Cambria" w:cs="Helvetica"/>
          <w:b/>
          <w:bCs/>
          <w:color w:val="2C6F95"/>
          <w:sz w:val="28"/>
          <w:szCs w:val="28"/>
          <w:lang w:eastAsia="en-US"/>
        </w:rPr>
        <w:t>2030</w:t>
      </w:r>
      <w:r w:rsidR="00D40F9A">
        <w:rPr>
          <w:rFonts w:ascii="Cambria" w:eastAsia="Helvetica" w:hAnsi="Cambria" w:cs="Helvetica"/>
          <w:b/>
          <w:bCs/>
          <w:color w:val="2C6F95"/>
          <w:sz w:val="28"/>
          <w:szCs w:val="28"/>
          <w:lang w:eastAsia="en-US"/>
        </w:rPr>
        <w:t>:</w:t>
      </w:r>
      <w:r w:rsidR="00BB27A3" w:rsidRPr="005A2F3C">
        <w:rPr>
          <w:rFonts w:ascii="Cambria" w:eastAsia="Helvetica" w:hAnsi="Cambria" w:cs="Helvetica"/>
          <w:b/>
          <w:bCs/>
          <w:color w:val="2C6F95"/>
          <w:sz w:val="28"/>
          <w:szCs w:val="28"/>
          <w:lang w:eastAsia="en-US"/>
        </w:rPr>
        <w:t xml:space="preserve"> </w:t>
      </w:r>
      <w:r w:rsidR="00D574BC">
        <w:rPr>
          <w:rFonts w:ascii="Cambria" w:eastAsia="Helvetica" w:hAnsi="Cambria" w:cs="Helvetica"/>
          <w:b/>
          <w:bCs/>
          <w:color w:val="2C6F95"/>
          <w:sz w:val="28"/>
          <w:szCs w:val="28"/>
          <w:lang w:eastAsia="en-US"/>
        </w:rPr>
        <w:t>B</w:t>
      </w:r>
      <w:r w:rsidR="00D40F9A">
        <w:rPr>
          <w:rFonts w:ascii="Cambria" w:eastAsia="Helvetica" w:hAnsi="Cambria" w:cs="Helvetica"/>
          <w:b/>
          <w:bCs/>
          <w:color w:val="2C6F95"/>
          <w:sz w:val="28"/>
          <w:szCs w:val="28"/>
          <w:lang w:eastAsia="en-US"/>
        </w:rPr>
        <w:t xml:space="preserve">uilding </w:t>
      </w:r>
      <w:r w:rsidR="00D574BC">
        <w:rPr>
          <w:rFonts w:ascii="Cambria" w:eastAsia="Helvetica" w:hAnsi="Cambria" w:cs="Helvetica"/>
          <w:b/>
          <w:bCs/>
          <w:color w:val="2C6F95"/>
          <w:sz w:val="28"/>
          <w:szCs w:val="28"/>
          <w:lang w:eastAsia="en-US"/>
        </w:rPr>
        <w:t>an A</w:t>
      </w:r>
      <w:r w:rsidR="00BB27A3" w:rsidRPr="005A2F3C">
        <w:rPr>
          <w:rFonts w:ascii="Cambria" w:eastAsia="Helvetica" w:hAnsi="Cambria" w:cs="Helvetica"/>
          <w:b/>
          <w:bCs/>
          <w:color w:val="2C6F95"/>
          <w:sz w:val="28"/>
          <w:szCs w:val="28"/>
          <w:lang w:eastAsia="en-US"/>
        </w:rPr>
        <w:t>lliance</w:t>
      </w:r>
      <w:r w:rsidR="0001682F">
        <w:rPr>
          <w:rFonts w:ascii="Cambria" w:eastAsia="Helvetica" w:hAnsi="Cambria" w:cs="Helvetica"/>
          <w:b/>
          <w:bCs/>
          <w:color w:val="2C6F95"/>
          <w:sz w:val="28"/>
          <w:szCs w:val="28"/>
          <w:lang w:eastAsia="en-US"/>
        </w:rPr>
        <w:t xml:space="preserve"> </w:t>
      </w:r>
      <w:r w:rsidR="00D574BC">
        <w:rPr>
          <w:rFonts w:ascii="Cambria" w:eastAsia="Helvetica" w:hAnsi="Cambria" w:cs="Helvetica"/>
          <w:b/>
          <w:bCs/>
          <w:color w:val="2C6F95"/>
          <w:sz w:val="28"/>
          <w:szCs w:val="28"/>
          <w:lang w:eastAsia="en-US"/>
        </w:rPr>
        <w:t>to Strengthen Health S</w:t>
      </w:r>
      <w:r w:rsidR="00BB27A3" w:rsidRPr="005A2F3C">
        <w:rPr>
          <w:rFonts w:ascii="Cambria" w:eastAsia="Helvetica" w:hAnsi="Cambria" w:cs="Helvetica"/>
          <w:b/>
          <w:bCs/>
          <w:color w:val="2C6F95"/>
          <w:sz w:val="28"/>
          <w:szCs w:val="28"/>
          <w:lang w:eastAsia="en-US"/>
        </w:rPr>
        <w:t xml:space="preserve">ystems </w:t>
      </w:r>
    </w:p>
    <w:p w:rsidR="008B529B" w:rsidRPr="005A2F3C" w:rsidRDefault="00131465" w:rsidP="00BB6696">
      <w:pPr>
        <w:keepNext/>
        <w:keepLines/>
        <w:spacing w:before="120" w:after="0" w:line="240" w:lineRule="auto"/>
        <w:jc w:val="center"/>
        <w:outlineLvl w:val="0"/>
        <w:rPr>
          <w:rFonts w:ascii="Cambria" w:eastAsia="Helvetica" w:hAnsi="Cambria" w:cs="Helvetica"/>
          <w:b/>
          <w:bCs/>
          <w:color w:val="2C6F95"/>
          <w:sz w:val="28"/>
          <w:szCs w:val="28"/>
          <w:lang w:eastAsia="en-US"/>
        </w:rPr>
      </w:pPr>
      <w:r>
        <w:rPr>
          <w:rFonts w:ascii="Cambria" w:eastAsia="Helvetica" w:hAnsi="Cambria" w:cs="Helvetica"/>
          <w:b/>
          <w:bCs/>
          <w:color w:val="2C6F95"/>
          <w:sz w:val="28"/>
          <w:szCs w:val="28"/>
          <w:lang w:eastAsia="en-US"/>
        </w:rPr>
        <w:t xml:space="preserve">Draft </w:t>
      </w:r>
      <w:r w:rsidR="008B529B" w:rsidRPr="005A2F3C">
        <w:rPr>
          <w:rFonts w:ascii="Cambria" w:eastAsia="Helvetica" w:hAnsi="Cambria" w:cs="Helvetica"/>
          <w:b/>
          <w:bCs/>
          <w:color w:val="2C6F95"/>
          <w:sz w:val="28"/>
          <w:szCs w:val="28"/>
          <w:lang w:eastAsia="en-US"/>
        </w:rPr>
        <w:t xml:space="preserve">Concept Note </w:t>
      </w:r>
      <w:r w:rsidR="00AA0993">
        <w:rPr>
          <w:rFonts w:ascii="Cambria" w:eastAsia="Helvetica" w:hAnsi="Cambria" w:cs="Helvetica"/>
          <w:b/>
          <w:bCs/>
          <w:color w:val="2C6F95"/>
          <w:sz w:val="28"/>
          <w:szCs w:val="28"/>
          <w:lang w:eastAsia="en-US"/>
        </w:rPr>
        <w:t>–</w:t>
      </w:r>
      <w:r w:rsidR="00BB6696">
        <w:rPr>
          <w:rFonts w:ascii="Cambria" w:eastAsia="Helvetica" w:hAnsi="Cambria" w:cs="Helvetica"/>
          <w:b/>
          <w:bCs/>
          <w:color w:val="2C6F95"/>
          <w:sz w:val="28"/>
          <w:szCs w:val="28"/>
          <w:lang w:eastAsia="en-US"/>
        </w:rPr>
        <w:t>1</w:t>
      </w:r>
      <w:r w:rsidR="005F2A7E">
        <w:rPr>
          <w:rFonts w:ascii="Cambria" w:eastAsia="Helvetica" w:hAnsi="Cambria" w:cs="Helvetica"/>
          <w:b/>
          <w:bCs/>
          <w:color w:val="2C6F95"/>
          <w:sz w:val="28"/>
          <w:szCs w:val="28"/>
          <w:lang w:eastAsia="en-US"/>
        </w:rPr>
        <w:t>7</w:t>
      </w:r>
      <w:r w:rsidR="00BB6696">
        <w:rPr>
          <w:rFonts w:ascii="Cambria" w:eastAsia="Helvetica" w:hAnsi="Cambria" w:cs="Helvetica"/>
          <w:b/>
          <w:bCs/>
          <w:color w:val="2C6F95"/>
          <w:sz w:val="28"/>
          <w:szCs w:val="28"/>
          <w:lang w:eastAsia="en-US"/>
        </w:rPr>
        <w:t xml:space="preserve"> June </w:t>
      </w:r>
      <w:r w:rsidR="009741E1">
        <w:rPr>
          <w:rFonts w:ascii="Cambria" w:eastAsia="Helvetica" w:hAnsi="Cambria" w:cs="Helvetica"/>
          <w:b/>
          <w:bCs/>
          <w:color w:val="2C6F95"/>
          <w:sz w:val="28"/>
          <w:szCs w:val="28"/>
          <w:lang w:eastAsia="en-US"/>
        </w:rPr>
        <w:t>2016</w:t>
      </w:r>
    </w:p>
    <w:p w:rsidR="00D2048B" w:rsidRDefault="00D2048B" w:rsidP="00581C2E">
      <w:pPr>
        <w:keepNext/>
        <w:keepLines/>
        <w:spacing w:after="0" w:line="240" w:lineRule="auto"/>
        <w:outlineLvl w:val="0"/>
        <w:rPr>
          <w:rFonts w:ascii="Cambria" w:eastAsia="Helvetica" w:hAnsi="Cambria" w:cs="Helvetica"/>
          <w:b/>
          <w:bCs/>
          <w:color w:val="499BC9"/>
          <w:sz w:val="26"/>
          <w:szCs w:val="32"/>
          <w:lang w:eastAsia="en-US"/>
        </w:rPr>
      </w:pPr>
      <w:bookmarkStart w:id="0" w:name="_Toc441446782"/>
    </w:p>
    <w:p w:rsidR="00581C2E" w:rsidRDefault="00581C2E" w:rsidP="00581C2E">
      <w:pPr>
        <w:keepNext/>
        <w:keepLines/>
        <w:spacing w:after="0" w:line="240" w:lineRule="auto"/>
        <w:outlineLvl w:val="0"/>
        <w:rPr>
          <w:rFonts w:ascii="Cambria" w:eastAsia="Helvetica" w:hAnsi="Cambria" w:cs="Helvetica"/>
          <w:b/>
          <w:bCs/>
          <w:color w:val="499BC9"/>
          <w:sz w:val="26"/>
          <w:szCs w:val="32"/>
          <w:lang w:eastAsia="en-US"/>
        </w:rPr>
      </w:pPr>
    </w:p>
    <w:p w:rsidR="006F6FAC" w:rsidRDefault="00FC656B" w:rsidP="00581C2E">
      <w:pPr>
        <w:keepNext/>
        <w:keepLines/>
        <w:spacing w:before="120" w:after="240" w:line="240" w:lineRule="auto"/>
        <w:outlineLvl w:val="0"/>
        <w:rPr>
          <w:rFonts w:ascii="Cambria" w:eastAsia="Helvetica" w:hAnsi="Cambria" w:cs="Helvetica"/>
          <w:b/>
          <w:bCs/>
          <w:color w:val="499BC9"/>
          <w:sz w:val="26"/>
          <w:szCs w:val="32"/>
          <w:lang w:eastAsia="en-US"/>
        </w:rPr>
      </w:pPr>
      <w:r>
        <w:rPr>
          <w:rFonts w:ascii="Cambria" w:eastAsia="Helvetica" w:hAnsi="Cambria" w:cs="Helvetica"/>
          <w:b/>
          <w:bCs/>
          <w:color w:val="499BC9"/>
          <w:sz w:val="26"/>
          <w:szCs w:val="32"/>
          <w:lang w:eastAsia="en-US"/>
        </w:rPr>
        <w:t>A Timely O</w:t>
      </w:r>
      <w:r w:rsidR="006F6FAC" w:rsidRPr="008B529B">
        <w:rPr>
          <w:rFonts w:ascii="Cambria" w:eastAsia="Helvetica" w:hAnsi="Cambria" w:cs="Helvetica"/>
          <w:b/>
          <w:bCs/>
          <w:color w:val="499BC9"/>
          <w:sz w:val="26"/>
          <w:szCs w:val="32"/>
          <w:lang w:eastAsia="en-US"/>
        </w:rPr>
        <w:t>pportunity</w:t>
      </w:r>
    </w:p>
    <w:p w:rsidR="006F6FAC" w:rsidRDefault="006F6FAC" w:rsidP="00FF5531">
      <w:pPr>
        <w:spacing w:after="0" w:line="240" w:lineRule="auto"/>
        <w:rPr>
          <w:rFonts w:ascii="Calibri" w:eastAsia="Helvetica" w:hAnsi="Calibri" w:cs="Helvetica"/>
          <w:szCs w:val="24"/>
          <w:lang w:eastAsia="en-US"/>
        </w:rPr>
      </w:pPr>
      <w:r w:rsidRPr="00D765F9">
        <w:rPr>
          <w:rFonts w:ascii="Calibri" w:eastAsia="Helvetica" w:hAnsi="Calibri" w:cs="Helvetica"/>
          <w:i/>
          <w:iCs/>
          <w:szCs w:val="24"/>
          <w:lang w:eastAsia="en-US"/>
        </w:rPr>
        <w:t>The Sustainable Development Goals (SDGs) demonstrate a renewed global commitment to health,</w:t>
      </w:r>
      <w:r w:rsidRPr="008B529B">
        <w:rPr>
          <w:rFonts w:ascii="Calibri" w:eastAsia="Helvetica" w:hAnsi="Calibri" w:cs="Helvetica"/>
          <w:szCs w:val="24"/>
          <w:lang w:eastAsia="en-US"/>
        </w:rPr>
        <w:t xml:space="preserve"> underpinned by target 3.8 for Universal Health Coverage (UHC) whereby all people </w:t>
      </w:r>
      <w:r>
        <w:rPr>
          <w:rFonts w:ascii="Calibri" w:eastAsia="Helvetica" w:hAnsi="Calibri" w:cs="Helvetica"/>
          <w:szCs w:val="24"/>
          <w:lang w:eastAsia="en-US"/>
        </w:rPr>
        <w:t xml:space="preserve">and communities </w:t>
      </w:r>
      <w:r w:rsidRPr="008B529B">
        <w:rPr>
          <w:rFonts w:ascii="Calibri" w:eastAsia="Helvetica" w:hAnsi="Calibri" w:cs="Helvetica"/>
          <w:szCs w:val="24"/>
          <w:lang w:eastAsia="en-US"/>
        </w:rPr>
        <w:t xml:space="preserve">have access to needed </w:t>
      </w:r>
      <w:r>
        <w:rPr>
          <w:rFonts w:ascii="Calibri" w:eastAsia="Helvetica" w:hAnsi="Calibri" w:cs="Helvetica"/>
          <w:szCs w:val="24"/>
          <w:lang w:eastAsia="en-US"/>
        </w:rPr>
        <w:t xml:space="preserve">quality </w:t>
      </w:r>
      <w:r w:rsidRPr="008B529B">
        <w:rPr>
          <w:rFonts w:ascii="Calibri" w:eastAsia="Helvetica" w:hAnsi="Calibri" w:cs="Helvetica"/>
          <w:szCs w:val="24"/>
          <w:lang w:eastAsia="en-US"/>
        </w:rPr>
        <w:t>health services without risk of financial hardship.</w:t>
      </w:r>
      <w:r w:rsidR="0001682F">
        <w:rPr>
          <w:rStyle w:val="FootnoteReference"/>
          <w:rFonts w:ascii="Calibri" w:eastAsia="Helvetica" w:hAnsi="Calibri" w:cs="Helvetica"/>
          <w:szCs w:val="24"/>
          <w:lang w:eastAsia="en-US"/>
        </w:rPr>
        <w:footnoteReference w:id="2"/>
      </w:r>
      <w:r>
        <w:rPr>
          <w:rFonts w:ascii="Calibri" w:eastAsia="Helvetica" w:hAnsi="Calibri" w:cs="Helvetica"/>
          <w:szCs w:val="24"/>
          <w:lang w:eastAsia="en-US"/>
        </w:rPr>
        <w:t xml:space="preserve">  The inclusion of </w:t>
      </w:r>
      <w:r w:rsidRPr="008B529B">
        <w:rPr>
          <w:rFonts w:ascii="Calibri" w:eastAsia="Helvetica" w:hAnsi="Calibri" w:cs="Helvetica"/>
          <w:szCs w:val="24"/>
          <w:lang w:eastAsia="en-US"/>
        </w:rPr>
        <w:t xml:space="preserve">UHC </w:t>
      </w:r>
      <w:r>
        <w:rPr>
          <w:rFonts w:ascii="Calibri" w:eastAsia="Helvetica" w:hAnsi="Calibri" w:cs="Helvetica"/>
          <w:szCs w:val="24"/>
          <w:lang w:eastAsia="en-US"/>
        </w:rPr>
        <w:t xml:space="preserve">in the SDGs </w:t>
      </w:r>
      <w:r w:rsidRPr="008B529B">
        <w:rPr>
          <w:rFonts w:ascii="Calibri" w:eastAsia="Helvetica" w:hAnsi="Calibri" w:cs="Helvetica"/>
          <w:szCs w:val="24"/>
          <w:lang w:eastAsia="en-US"/>
        </w:rPr>
        <w:t xml:space="preserve">presents an opportunity to promote a comprehensive and coherent approach to health, beyond the </w:t>
      </w:r>
      <w:r w:rsidR="00FF5531">
        <w:rPr>
          <w:rFonts w:ascii="Calibri" w:eastAsia="Helvetica" w:hAnsi="Calibri" w:cs="Helvetica"/>
          <w:szCs w:val="24"/>
          <w:lang w:eastAsia="en-US"/>
        </w:rPr>
        <w:t xml:space="preserve">control </w:t>
      </w:r>
      <w:r w:rsidRPr="008B529B">
        <w:rPr>
          <w:rFonts w:ascii="Calibri" w:eastAsia="Helvetica" w:hAnsi="Calibri" w:cs="Helvetica"/>
          <w:szCs w:val="24"/>
          <w:lang w:eastAsia="en-US"/>
        </w:rPr>
        <w:t>of specific diseases</w:t>
      </w:r>
      <w:r>
        <w:rPr>
          <w:rFonts w:ascii="Calibri" w:eastAsia="Helvetica" w:hAnsi="Calibri" w:cs="Helvetica"/>
          <w:szCs w:val="24"/>
          <w:lang w:eastAsia="en-US"/>
        </w:rPr>
        <w:t>,</w:t>
      </w:r>
      <w:r w:rsidRPr="008B529B">
        <w:rPr>
          <w:rFonts w:ascii="Calibri" w:eastAsia="Helvetica" w:hAnsi="Calibri" w:cs="Helvetica"/>
          <w:szCs w:val="24"/>
          <w:lang w:eastAsia="en-US"/>
        </w:rPr>
        <w:t xml:space="preserve"> to focus on how the health system delivers integrated, people-centred health services</w:t>
      </w:r>
      <w:r>
        <w:rPr>
          <w:rFonts w:ascii="Calibri" w:eastAsia="Helvetica" w:hAnsi="Calibri" w:cs="Helvetica"/>
          <w:szCs w:val="24"/>
          <w:lang w:eastAsia="en-US"/>
        </w:rPr>
        <w:t>. The UHC focus aligns with the</w:t>
      </w:r>
      <w:r w:rsidR="00D40F9A">
        <w:rPr>
          <w:rFonts w:ascii="Calibri" w:eastAsia="Helvetica" w:hAnsi="Calibri" w:cs="Helvetica"/>
          <w:szCs w:val="24"/>
          <w:lang w:eastAsia="en-US"/>
        </w:rPr>
        <w:t xml:space="preserve"> universalism of the</w:t>
      </w:r>
      <w:r>
        <w:rPr>
          <w:rFonts w:ascii="Calibri" w:eastAsia="Helvetica" w:hAnsi="Calibri" w:cs="Helvetica"/>
          <w:szCs w:val="24"/>
          <w:lang w:eastAsia="en-US"/>
        </w:rPr>
        <w:t xml:space="preserve"> SDG</w:t>
      </w:r>
      <w:r w:rsidR="00D40F9A">
        <w:rPr>
          <w:rFonts w:ascii="Calibri" w:eastAsia="Helvetica" w:hAnsi="Calibri" w:cs="Helvetica"/>
          <w:szCs w:val="24"/>
          <w:lang w:eastAsia="en-US"/>
        </w:rPr>
        <w:t>s and their</w:t>
      </w:r>
      <w:r>
        <w:rPr>
          <w:rFonts w:ascii="Calibri" w:eastAsia="Helvetica" w:hAnsi="Calibri" w:cs="Helvetica"/>
          <w:szCs w:val="24"/>
          <w:lang w:eastAsia="en-US"/>
        </w:rPr>
        <w:t xml:space="preserve"> goals and targets</w:t>
      </w:r>
      <w:r w:rsidR="001524C1">
        <w:rPr>
          <w:rFonts w:ascii="Calibri" w:eastAsia="Helvetica" w:hAnsi="Calibri" w:cs="Helvetica"/>
          <w:szCs w:val="24"/>
          <w:lang w:eastAsia="en-US"/>
        </w:rPr>
        <w:t>,</w:t>
      </w:r>
      <w:r>
        <w:rPr>
          <w:rFonts w:ascii="Calibri" w:eastAsia="Helvetica" w:hAnsi="Calibri" w:cs="Helvetica"/>
          <w:szCs w:val="24"/>
          <w:lang w:eastAsia="en-US"/>
        </w:rPr>
        <w:t xml:space="preserve"> </w:t>
      </w:r>
      <w:r w:rsidR="00D40F9A">
        <w:rPr>
          <w:rFonts w:ascii="Calibri" w:eastAsia="Helvetica" w:hAnsi="Calibri" w:cs="Helvetica"/>
          <w:szCs w:val="24"/>
          <w:lang w:eastAsia="en-US"/>
        </w:rPr>
        <w:t xml:space="preserve">which are </w:t>
      </w:r>
      <w:r>
        <w:rPr>
          <w:rFonts w:ascii="Calibri" w:eastAsia="Helvetica" w:hAnsi="Calibri" w:cs="Helvetica"/>
          <w:szCs w:val="24"/>
          <w:lang w:eastAsia="en-US"/>
        </w:rPr>
        <w:t>relevan</w:t>
      </w:r>
      <w:r w:rsidR="00D40F9A">
        <w:rPr>
          <w:rFonts w:ascii="Calibri" w:eastAsia="Helvetica" w:hAnsi="Calibri" w:cs="Helvetica"/>
          <w:szCs w:val="24"/>
          <w:lang w:eastAsia="en-US"/>
        </w:rPr>
        <w:t>t</w:t>
      </w:r>
      <w:r>
        <w:rPr>
          <w:rFonts w:ascii="Calibri" w:eastAsia="Helvetica" w:hAnsi="Calibri" w:cs="Helvetica"/>
          <w:szCs w:val="24"/>
          <w:lang w:eastAsia="en-US"/>
        </w:rPr>
        <w:t xml:space="preserve"> across all countries regardless of their level of economic development.   However, as the</w:t>
      </w:r>
      <w:r w:rsidR="00FB3F4F">
        <w:rPr>
          <w:rFonts w:ascii="Calibri" w:eastAsia="Helvetica" w:hAnsi="Calibri" w:cs="Helvetica"/>
          <w:szCs w:val="24"/>
          <w:lang w:eastAsia="en-US"/>
        </w:rPr>
        <w:t xml:space="preserve"> recent health crises including</w:t>
      </w:r>
      <w:r>
        <w:rPr>
          <w:rFonts w:ascii="Calibri" w:eastAsia="Helvetica" w:hAnsi="Calibri" w:cs="Helvetica"/>
          <w:szCs w:val="24"/>
          <w:lang w:eastAsia="en-US"/>
        </w:rPr>
        <w:t xml:space="preserve"> Ebola and Zika make clear, to be relevant </w:t>
      </w:r>
      <w:r w:rsidR="00963A6F">
        <w:rPr>
          <w:rFonts w:ascii="Calibri" w:eastAsia="Helvetica" w:hAnsi="Calibri" w:cs="Helvetica"/>
          <w:szCs w:val="24"/>
          <w:lang w:eastAsia="en-US"/>
        </w:rPr>
        <w:t xml:space="preserve">UHC </w:t>
      </w:r>
      <w:r>
        <w:rPr>
          <w:rFonts w:ascii="Calibri" w:eastAsia="Helvetica" w:hAnsi="Calibri" w:cs="Helvetica"/>
          <w:szCs w:val="24"/>
          <w:lang w:eastAsia="en-US"/>
        </w:rPr>
        <w:t xml:space="preserve">cannot overlook growing concerns related to </w:t>
      </w:r>
      <w:r w:rsidR="00AA0993">
        <w:rPr>
          <w:rFonts w:ascii="Calibri" w:eastAsia="Helvetica" w:hAnsi="Calibri" w:cs="Helvetica"/>
          <w:szCs w:val="24"/>
          <w:lang w:eastAsia="en-US"/>
        </w:rPr>
        <w:t>health security.</w:t>
      </w:r>
      <w:r>
        <w:rPr>
          <w:rFonts w:ascii="Calibri" w:eastAsia="Helvetica" w:hAnsi="Calibri" w:cs="Helvetica"/>
          <w:szCs w:val="24"/>
          <w:lang w:eastAsia="en-US"/>
        </w:rPr>
        <w:t xml:space="preserve"> As initiatives of the governments of Germany and Japan have recognized</w:t>
      </w:r>
      <w:r w:rsidR="0001682F">
        <w:rPr>
          <w:rStyle w:val="FootnoteReference"/>
          <w:rFonts w:ascii="Calibri" w:eastAsia="Helvetica" w:hAnsi="Calibri" w:cs="Helvetica"/>
          <w:szCs w:val="24"/>
          <w:lang w:eastAsia="en-US"/>
        </w:rPr>
        <w:footnoteReference w:id="3"/>
      </w:r>
      <w:r w:rsidR="0001682F">
        <w:rPr>
          <w:rFonts w:ascii="Calibri" w:eastAsia="Helvetica" w:hAnsi="Calibri" w:cs="Helvetica"/>
          <w:szCs w:val="24"/>
          <w:lang w:eastAsia="en-US"/>
        </w:rPr>
        <w:t xml:space="preserve"> </w:t>
      </w:r>
      <w:r w:rsidR="0001682F">
        <w:rPr>
          <w:rStyle w:val="FootnoteReference"/>
          <w:rFonts w:ascii="Calibri" w:eastAsia="Helvetica" w:hAnsi="Calibri" w:cs="Helvetica"/>
          <w:szCs w:val="24"/>
          <w:lang w:eastAsia="en-US"/>
        </w:rPr>
        <w:footnoteReference w:id="4"/>
      </w:r>
      <w:r>
        <w:rPr>
          <w:rFonts w:ascii="Calibri" w:eastAsia="Helvetica" w:hAnsi="Calibri" w:cs="Helvetica"/>
          <w:szCs w:val="24"/>
          <w:lang w:eastAsia="en-US"/>
        </w:rPr>
        <w:t xml:space="preserve">, accelerated progress towards UHC inclusive of health security depends on robust and resilient health systems. </w:t>
      </w:r>
      <w:r w:rsidR="00733D8F">
        <w:rPr>
          <w:rFonts w:ascii="Calibri" w:eastAsia="Helvetica" w:hAnsi="Calibri" w:cs="Helvetica"/>
          <w:szCs w:val="24"/>
          <w:lang w:eastAsia="en-US"/>
        </w:rPr>
        <w:t>This was echoed by the G7 in the recent Ise-Shima Leaders’ Declaration.</w:t>
      </w:r>
    </w:p>
    <w:p w:rsidR="00EB24AB" w:rsidRDefault="00EB24AB" w:rsidP="00EB24AB">
      <w:pPr>
        <w:spacing w:after="0" w:line="240" w:lineRule="auto"/>
        <w:rPr>
          <w:rFonts w:ascii="Calibri" w:eastAsia="Helvetica" w:hAnsi="Calibri" w:cs="Helvetica"/>
          <w:szCs w:val="24"/>
          <w:lang w:eastAsia="en-US"/>
        </w:rPr>
      </w:pPr>
    </w:p>
    <w:p w:rsidR="006F6FAC" w:rsidRDefault="00D40F9A" w:rsidP="00FF5531">
      <w:pPr>
        <w:spacing w:after="0" w:line="240" w:lineRule="auto"/>
        <w:rPr>
          <w:rFonts w:ascii="Calibri" w:eastAsia="Helvetica" w:hAnsi="Calibri" w:cs="Helvetica"/>
          <w:szCs w:val="24"/>
          <w:lang w:eastAsia="en-US"/>
        </w:rPr>
      </w:pPr>
      <w:r>
        <w:rPr>
          <w:rFonts w:ascii="Calibri" w:eastAsia="Helvetica" w:hAnsi="Calibri" w:cs="Helvetica"/>
          <w:szCs w:val="24"/>
          <w:lang w:eastAsia="en-US"/>
        </w:rPr>
        <w:t>O</w:t>
      </w:r>
      <w:r w:rsidR="006F6FAC">
        <w:rPr>
          <w:rFonts w:ascii="Calibri" w:eastAsia="Helvetica" w:hAnsi="Calibri" w:cs="Helvetica"/>
          <w:szCs w:val="24"/>
          <w:lang w:eastAsia="en-US"/>
        </w:rPr>
        <w:t xml:space="preserve">ver the period of the MDGs, the imperative of evidence for improved functioning of, and innovations in, health systems has been made clear repeatedly. Greater clarity on the composite dimensions of health systems and specific actions to strengthen them - be it in </w:t>
      </w:r>
      <w:r w:rsidR="00CD2A24">
        <w:rPr>
          <w:rFonts w:ascii="Calibri" w:eastAsia="Helvetica" w:hAnsi="Calibri" w:cs="Helvetica"/>
          <w:szCs w:val="24"/>
          <w:lang w:eastAsia="en-US"/>
        </w:rPr>
        <w:t xml:space="preserve">governance, </w:t>
      </w:r>
      <w:r w:rsidR="006F6FAC">
        <w:rPr>
          <w:rFonts w:ascii="Calibri" w:eastAsia="Helvetica" w:hAnsi="Calibri" w:cs="Helvetica"/>
          <w:szCs w:val="24"/>
          <w:lang w:eastAsia="en-US"/>
        </w:rPr>
        <w:t>finance, medicines</w:t>
      </w:r>
      <w:r w:rsidR="00CD2A24">
        <w:rPr>
          <w:rFonts w:ascii="Calibri" w:eastAsia="Helvetica" w:hAnsi="Calibri" w:cs="Helvetica"/>
          <w:szCs w:val="24"/>
          <w:lang w:eastAsia="en-US"/>
        </w:rPr>
        <w:t xml:space="preserve"> and technologies</w:t>
      </w:r>
      <w:r w:rsidR="006F6FAC">
        <w:rPr>
          <w:rFonts w:ascii="Calibri" w:eastAsia="Helvetica" w:hAnsi="Calibri" w:cs="Helvetica"/>
          <w:szCs w:val="24"/>
          <w:lang w:eastAsia="en-US"/>
        </w:rPr>
        <w:t>, information</w:t>
      </w:r>
      <w:r w:rsidR="00CD2A24">
        <w:rPr>
          <w:rFonts w:ascii="Calibri" w:eastAsia="Helvetica" w:hAnsi="Calibri" w:cs="Helvetica"/>
          <w:szCs w:val="24"/>
          <w:lang w:eastAsia="en-US"/>
        </w:rPr>
        <w:t xml:space="preserve">, </w:t>
      </w:r>
      <w:r w:rsidR="006F6FAC">
        <w:rPr>
          <w:rFonts w:ascii="Calibri" w:eastAsia="Helvetica" w:hAnsi="Calibri" w:cs="Helvetica"/>
          <w:szCs w:val="24"/>
          <w:lang w:eastAsia="en-US"/>
        </w:rPr>
        <w:t xml:space="preserve">workforce </w:t>
      </w:r>
      <w:r w:rsidR="00CD2A24">
        <w:rPr>
          <w:rFonts w:ascii="Calibri" w:eastAsia="Helvetica" w:hAnsi="Calibri" w:cs="Helvetica"/>
          <w:szCs w:val="24"/>
          <w:lang w:eastAsia="en-US"/>
        </w:rPr>
        <w:t>or service delivery</w:t>
      </w:r>
      <w:r w:rsidR="006F6FAC">
        <w:rPr>
          <w:rFonts w:ascii="Calibri" w:eastAsia="Helvetica" w:hAnsi="Calibri" w:cs="Helvetica"/>
          <w:szCs w:val="24"/>
          <w:lang w:eastAsia="en-US"/>
        </w:rPr>
        <w:t xml:space="preserve"> - have helped to strengthen the demand for and supply of knowledge and know-how to strengthen health systems. </w:t>
      </w:r>
      <w:r>
        <w:rPr>
          <w:rFonts w:ascii="Calibri" w:eastAsia="Helvetica" w:hAnsi="Calibri" w:cs="Helvetica"/>
          <w:szCs w:val="24"/>
          <w:lang w:eastAsia="en-US"/>
        </w:rPr>
        <w:t>Yet, d</w:t>
      </w:r>
      <w:r w:rsidR="006F6FAC">
        <w:rPr>
          <w:rFonts w:ascii="Calibri" w:eastAsia="Helvetica" w:hAnsi="Calibri" w:cs="Helvetica"/>
          <w:szCs w:val="24"/>
          <w:lang w:eastAsia="en-US"/>
        </w:rPr>
        <w:t xml:space="preserve">espite progress on many fronts, there is a prevailing view that investments in strengthening health systems have fallen </w:t>
      </w:r>
      <w:r w:rsidR="00EB24AB">
        <w:rPr>
          <w:rFonts w:ascii="Calibri" w:eastAsia="Helvetica" w:hAnsi="Calibri" w:cs="Helvetica"/>
          <w:szCs w:val="24"/>
          <w:lang w:eastAsia="en-US"/>
        </w:rPr>
        <w:t xml:space="preserve">well short of what is needed. </w:t>
      </w:r>
      <w:r w:rsidR="006F6FAC">
        <w:rPr>
          <w:rFonts w:ascii="Calibri" w:eastAsia="Helvetica" w:hAnsi="Calibri" w:cs="Helvetica"/>
          <w:szCs w:val="24"/>
          <w:lang w:eastAsia="en-US"/>
        </w:rPr>
        <w:t>Moreover, the excessively fragmented global health architecture appears to have slowed rather than accelerated efforts of countries to strengthen their health systems</w:t>
      </w:r>
      <w:r w:rsidR="0001682F">
        <w:rPr>
          <w:rStyle w:val="FootnoteReference"/>
          <w:rFonts w:ascii="Calibri" w:eastAsia="Helvetica" w:hAnsi="Calibri" w:cs="Helvetica"/>
          <w:szCs w:val="24"/>
          <w:lang w:eastAsia="en-US"/>
        </w:rPr>
        <w:footnoteReference w:id="5"/>
      </w:r>
      <w:r w:rsidR="006F6FAC">
        <w:rPr>
          <w:rFonts w:ascii="Calibri" w:eastAsia="Helvetica" w:hAnsi="Calibri" w:cs="Helvetica"/>
          <w:szCs w:val="24"/>
          <w:lang w:eastAsia="en-US"/>
        </w:rPr>
        <w:t xml:space="preserve"> with calls for </w:t>
      </w:r>
      <w:r w:rsidR="009D73E2">
        <w:rPr>
          <w:rFonts w:ascii="Calibri" w:eastAsia="Helvetica" w:hAnsi="Calibri" w:cs="Helvetica"/>
          <w:szCs w:val="24"/>
          <w:lang w:eastAsia="en-US"/>
        </w:rPr>
        <w:t xml:space="preserve">better </w:t>
      </w:r>
      <w:r w:rsidR="006F6FAC">
        <w:rPr>
          <w:rFonts w:ascii="Calibri" w:eastAsia="Helvetica" w:hAnsi="Calibri" w:cs="Helvetica"/>
          <w:szCs w:val="24"/>
          <w:lang w:eastAsia="en-US"/>
        </w:rPr>
        <w:t>coordination and accountability.</w:t>
      </w:r>
      <w:r w:rsidR="00073F23">
        <w:rPr>
          <w:rFonts w:ascii="Calibri" w:eastAsia="Helvetica" w:hAnsi="Calibri" w:cs="Helvetica"/>
          <w:szCs w:val="24"/>
          <w:lang w:eastAsia="en-US"/>
        </w:rPr>
        <w:t xml:space="preserve"> </w:t>
      </w:r>
      <w:r w:rsidR="006F6FAC">
        <w:rPr>
          <w:rFonts w:ascii="Calibri" w:eastAsia="Helvetica" w:hAnsi="Calibri" w:cs="Helvetica"/>
          <w:szCs w:val="24"/>
          <w:lang w:eastAsia="en-US"/>
        </w:rPr>
        <w:t xml:space="preserve">Learning from this legacy </w:t>
      </w:r>
      <w:r w:rsidR="00737F85">
        <w:rPr>
          <w:rFonts w:ascii="Calibri" w:eastAsia="Helvetica" w:hAnsi="Calibri" w:cs="Helvetica"/>
          <w:szCs w:val="24"/>
          <w:lang w:eastAsia="en-US"/>
        </w:rPr>
        <w:t>-</w:t>
      </w:r>
      <w:r w:rsidR="006F6FAC">
        <w:rPr>
          <w:rFonts w:ascii="Calibri" w:eastAsia="Helvetica" w:hAnsi="Calibri" w:cs="Helvetica"/>
          <w:szCs w:val="24"/>
          <w:lang w:eastAsia="en-US"/>
        </w:rPr>
        <w:t xml:space="preserve"> both positive and negative </w:t>
      </w:r>
      <w:r w:rsidR="005950F6">
        <w:rPr>
          <w:rFonts w:ascii="Calibri" w:eastAsia="Helvetica" w:hAnsi="Calibri" w:cs="Helvetica"/>
          <w:szCs w:val="24"/>
          <w:lang w:eastAsia="en-US"/>
        </w:rPr>
        <w:t>-</w:t>
      </w:r>
      <w:r w:rsidR="006F6FAC">
        <w:rPr>
          <w:rFonts w:ascii="Calibri" w:eastAsia="Helvetica" w:hAnsi="Calibri" w:cs="Helvetica"/>
          <w:szCs w:val="24"/>
          <w:lang w:eastAsia="en-US"/>
        </w:rPr>
        <w:t xml:space="preserve"> together with the more inclusive global imprimatur of the SDGs and strong demands for action</w:t>
      </w:r>
      <w:r w:rsidR="00AA0993">
        <w:rPr>
          <w:rFonts w:ascii="Calibri" w:eastAsia="Helvetica" w:hAnsi="Calibri" w:cs="Helvetica"/>
          <w:szCs w:val="24"/>
          <w:lang w:eastAsia="en-US"/>
        </w:rPr>
        <w:t xml:space="preserve">, </w:t>
      </w:r>
      <w:r w:rsidR="006F6FAC">
        <w:rPr>
          <w:rFonts w:ascii="Calibri" w:eastAsia="Helvetica" w:hAnsi="Calibri" w:cs="Helvetica"/>
          <w:szCs w:val="24"/>
          <w:lang w:eastAsia="en-US"/>
        </w:rPr>
        <w:t>there is a timely opportunity to review and revitalize our collective efforts to support the development of robust and resilient health systems that can inform the pa</w:t>
      </w:r>
      <w:r w:rsidR="008B24D3">
        <w:rPr>
          <w:rFonts w:ascii="Calibri" w:eastAsia="Helvetica" w:hAnsi="Calibri" w:cs="Helvetica"/>
          <w:szCs w:val="24"/>
          <w:lang w:eastAsia="en-US"/>
        </w:rPr>
        <w:t>thways</w:t>
      </w:r>
      <w:r w:rsidR="006F6FAC">
        <w:rPr>
          <w:rFonts w:ascii="Calibri" w:eastAsia="Helvetica" w:hAnsi="Calibri" w:cs="Helvetica"/>
          <w:szCs w:val="24"/>
          <w:lang w:eastAsia="en-US"/>
        </w:rPr>
        <w:t xml:space="preserve"> and the pa</w:t>
      </w:r>
      <w:r w:rsidR="008B24D3">
        <w:rPr>
          <w:rFonts w:ascii="Calibri" w:eastAsia="Helvetica" w:hAnsi="Calibri" w:cs="Helvetica"/>
          <w:szCs w:val="24"/>
          <w:lang w:eastAsia="en-US"/>
        </w:rPr>
        <w:t>ce</w:t>
      </w:r>
      <w:r w:rsidR="006F6FAC">
        <w:rPr>
          <w:rFonts w:ascii="Calibri" w:eastAsia="Helvetica" w:hAnsi="Calibri" w:cs="Helvetica"/>
          <w:szCs w:val="24"/>
          <w:lang w:eastAsia="en-US"/>
        </w:rPr>
        <w:t xml:space="preserve"> of progress towards UHC.   </w:t>
      </w:r>
    </w:p>
    <w:p w:rsidR="00EB24AB" w:rsidRDefault="00EB24AB" w:rsidP="00EB24AB">
      <w:pPr>
        <w:spacing w:after="0" w:line="240" w:lineRule="auto"/>
        <w:rPr>
          <w:rFonts w:ascii="Calibri" w:eastAsia="Helvetica" w:hAnsi="Calibri" w:cs="Helvetica"/>
          <w:szCs w:val="24"/>
          <w:lang w:eastAsia="en-US"/>
        </w:rPr>
      </w:pPr>
    </w:p>
    <w:p w:rsidR="00C13442" w:rsidRDefault="005C32BE" w:rsidP="00C13442">
      <w:pPr>
        <w:spacing w:after="0" w:line="240" w:lineRule="auto"/>
        <w:rPr>
          <w:rFonts w:ascii="Calibri" w:eastAsia="Arial Unicode MS" w:hAnsi="Calibri" w:cs="Calibri"/>
          <w:szCs w:val="30"/>
          <w:bdr w:val="nil"/>
          <w:lang w:val="en-US" w:eastAsia="en-US"/>
        </w:rPr>
      </w:pPr>
      <w:r w:rsidRPr="00297E22">
        <w:rPr>
          <w:rFonts w:ascii="Calibri" w:eastAsia="Helvetica" w:hAnsi="Calibri" w:cs="Helvetica"/>
          <w:szCs w:val="24"/>
          <w:lang w:eastAsia="en-US"/>
        </w:rPr>
        <w:t xml:space="preserve">Setting up a multi-stakeholder UHC 2030 that builds on the foundations of an existing partnership such as IHP+ </w:t>
      </w:r>
      <w:r w:rsidR="00AB20D8" w:rsidRPr="00297E22">
        <w:rPr>
          <w:rFonts w:ascii="Calibri" w:eastAsia="Helvetica" w:hAnsi="Calibri" w:cs="Helvetica"/>
          <w:szCs w:val="24"/>
          <w:lang w:eastAsia="en-US"/>
        </w:rPr>
        <w:t xml:space="preserve">(see box below) </w:t>
      </w:r>
      <w:r w:rsidRPr="00297E22">
        <w:rPr>
          <w:rFonts w:ascii="Calibri" w:eastAsia="Helvetica" w:hAnsi="Calibri" w:cs="Helvetica"/>
          <w:szCs w:val="24"/>
          <w:lang w:eastAsia="en-US"/>
        </w:rPr>
        <w:t xml:space="preserve">is seen by many </w:t>
      </w:r>
      <w:r w:rsidR="000709B8">
        <w:rPr>
          <w:rFonts w:ascii="Calibri" w:eastAsia="Helvetica" w:hAnsi="Calibri" w:cs="Helvetica"/>
          <w:szCs w:val="24"/>
          <w:lang w:eastAsia="en-US"/>
        </w:rPr>
        <w:t xml:space="preserve">as </w:t>
      </w:r>
      <w:r w:rsidRPr="00297E22">
        <w:rPr>
          <w:rFonts w:ascii="Calibri" w:eastAsia="Helvetica" w:hAnsi="Calibri" w:cs="Helvetica"/>
          <w:szCs w:val="24"/>
          <w:lang w:eastAsia="en-US"/>
        </w:rPr>
        <w:t>a good way to proceed. Partner count</w:t>
      </w:r>
      <w:r w:rsidR="00AA0993" w:rsidRPr="00297E22">
        <w:rPr>
          <w:rFonts w:ascii="Calibri" w:eastAsia="Helvetica" w:hAnsi="Calibri" w:cs="Helvetica"/>
          <w:szCs w:val="24"/>
          <w:lang w:eastAsia="en-US"/>
        </w:rPr>
        <w:t>ries are particularly supportive</w:t>
      </w:r>
      <w:r w:rsidRPr="00297E22">
        <w:rPr>
          <w:rFonts w:ascii="Calibri" w:eastAsia="Helvetica" w:hAnsi="Calibri" w:cs="Helvetica"/>
          <w:szCs w:val="24"/>
          <w:lang w:eastAsia="en-US"/>
        </w:rPr>
        <w:t xml:space="preserve"> of transforming IHP+, with 87% of respondents in favour of IHP+ expanding its mandate to include issues of coordination, advocacy and accountability in relation to </w:t>
      </w:r>
      <w:r w:rsidR="00D34E75">
        <w:rPr>
          <w:rFonts w:ascii="Calibri" w:eastAsia="Helvetica" w:hAnsi="Calibri" w:cs="Helvetica"/>
          <w:szCs w:val="24"/>
          <w:lang w:eastAsia="en-US"/>
        </w:rPr>
        <w:t>health system</w:t>
      </w:r>
      <w:r w:rsidR="008B443E">
        <w:rPr>
          <w:rFonts w:ascii="Calibri" w:eastAsia="Helvetica" w:hAnsi="Calibri" w:cs="Helvetica"/>
          <w:szCs w:val="24"/>
          <w:lang w:eastAsia="en-US"/>
        </w:rPr>
        <w:t>s</w:t>
      </w:r>
      <w:r w:rsidR="00D34E75">
        <w:rPr>
          <w:rFonts w:ascii="Calibri" w:eastAsia="Helvetica" w:hAnsi="Calibri" w:cs="Helvetica"/>
          <w:szCs w:val="24"/>
          <w:lang w:eastAsia="en-US"/>
        </w:rPr>
        <w:t xml:space="preserve"> strengthening (</w:t>
      </w:r>
      <w:r w:rsidRPr="00297E22">
        <w:rPr>
          <w:rFonts w:ascii="Calibri" w:eastAsia="Helvetica" w:hAnsi="Calibri" w:cs="Helvetica"/>
          <w:szCs w:val="24"/>
          <w:lang w:eastAsia="en-US"/>
        </w:rPr>
        <w:t>HSS</w:t>
      </w:r>
      <w:r w:rsidR="00D34E75">
        <w:rPr>
          <w:rFonts w:ascii="Calibri" w:eastAsia="Helvetica" w:hAnsi="Calibri" w:cs="Helvetica"/>
          <w:szCs w:val="24"/>
          <w:lang w:eastAsia="en-US"/>
        </w:rPr>
        <w:t>)</w:t>
      </w:r>
      <w:r w:rsidRPr="00297E22">
        <w:rPr>
          <w:rFonts w:ascii="Calibri" w:eastAsia="Helvetica" w:hAnsi="Calibri" w:cs="Helvetica"/>
          <w:szCs w:val="24"/>
          <w:lang w:eastAsia="en-US"/>
        </w:rPr>
        <w:t xml:space="preserve"> and UHC</w:t>
      </w:r>
      <w:r w:rsidRPr="000630E2">
        <w:rPr>
          <w:rFonts w:ascii="Calibri" w:eastAsia="Helvetica" w:hAnsi="Calibri" w:cs="Helvetica"/>
          <w:szCs w:val="24"/>
          <w:lang w:eastAsia="en-US"/>
        </w:rPr>
        <w:t>.</w:t>
      </w:r>
      <w:r w:rsidRPr="000630E2">
        <w:rPr>
          <w:rFonts w:ascii="Calibri" w:eastAsia="Helvetica" w:hAnsi="Calibri" w:cs="Helvetica"/>
          <w:szCs w:val="24"/>
          <w:vertAlign w:val="superscript"/>
          <w:lang w:eastAsia="en-US"/>
        </w:rPr>
        <w:footnoteReference w:id="6"/>
      </w:r>
      <w:r w:rsidRPr="000630E2">
        <w:rPr>
          <w:rFonts w:ascii="Calibri" w:eastAsia="Helvetica" w:hAnsi="Calibri" w:cs="Helvetica"/>
          <w:szCs w:val="24"/>
          <w:lang w:eastAsia="en-US"/>
        </w:rPr>
        <w:t xml:space="preserve"> </w:t>
      </w:r>
      <w:r w:rsidR="00C13442" w:rsidRPr="000630E2">
        <w:rPr>
          <w:rFonts w:ascii="Calibri" w:eastAsia="Helvetica" w:hAnsi="Calibri" w:cs="Helvetica"/>
          <w:szCs w:val="24"/>
          <w:lang w:eastAsia="en-US"/>
        </w:rPr>
        <w:t xml:space="preserve"> In terms of membership</w:t>
      </w:r>
      <w:r w:rsidR="00C13442">
        <w:rPr>
          <w:rFonts w:ascii="Calibri" w:eastAsia="Helvetica" w:hAnsi="Calibri" w:cs="Helvetica"/>
          <w:szCs w:val="24"/>
          <w:lang w:eastAsia="en-US"/>
        </w:rPr>
        <w:t xml:space="preserve">, the transformation of IHP+ to UHC 2030 calls for including a broader range of countries, given the universal nature of the SDGs, and a more diverse mix of constituencies, including civil society, the private sector and parliaments. </w:t>
      </w:r>
    </w:p>
    <w:p w:rsidR="00C13442" w:rsidRDefault="00C13442" w:rsidP="00FF5531">
      <w:pPr>
        <w:spacing w:after="0" w:line="240" w:lineRule="auto"/>
        <w:rPr>
          <w:rFonts w:ascii="Calibri" w:eastAsia="Helvetica" w:hAnsi="Calibri" w:cs="Helvetica"/>
          <w:szCs w:val="24"/>
          <w:lang w:eastAsia="en-US"/>
        </w:rPr>
      </w:pPr>
    </w:p>
    <w:p w:rsidR="00073F23" w:rsidRPr="00825C83" w:rsidRDefault="006F6FAC" w:rsidP="00825C83">
      <w:pPr>
        <w:spacing w:after="0" w:line="240" w:lineRule="auto"/>
        <w:rPr>
          <w:rFonts w:ascii="Calibri" w:eastAsia="Helvetica" w:hAnsi="Calibri" w:cs="Helvetica"/>
          <w:szCs w:val="24"/>
          <w:lang w:eastAsia="en-US"/>
        </w:rPr>
      </w:pPr>
      <w:r w:rsidRPr="00297E22">
        <w:rPr>
          <w:rFonts w:ascii="Calibri" w:eastAsia="Helvetica" w:hAnsi="Calibri" w:cs="Helvetica"/>
          <w:szCs w:val="24"/>
          <w:lang w:eastAsia="en-US"/>
        </w:rPr>
        <w:t xml:space="preserve">Accepting this rationale, this </w:t>
      </w:r>
      <w:r w:rsidR="00AC1A93" w:rsidRPr="00297E22">
        <w:rPr>
          <w:rFonts w:ascii="Calibri" w:eastAsia="Helvetica" w:hAnsi="Calibri" w:cs="Helvetica"/>
          <w:szCs w:val="24"/>
          <w:lang w:eastAsia="en-US"/>
        </w:rPr>
        <w:t>note identifies the objectives,</w:t>
      </w:r>
      <w:r w:rsidRPr="00297E22">
        <w:rPr>
          <w:rFonts w:ascii="Calibri" w:eastAsia="Helvetica" w:hAnsi="Calibri" w:cs="Helvetica"/>
          <w:szCs w:val="24"/>
          <w:lang w:eastAsia="en-US"/>
        </w:rPr>
        <w:t xml:space="preserve"> functions </w:t>
      </w:r>
      <w:r w:rsidR="001E5EE0" w:rsidRPr="00297E22">
        <w:rPr>
          <w:rFonts w:ascii="Calibri" w:eastAsia="Helvetica" w:hAnsi="Calibri" w:cs="Helvetica"/>
          <w:szCs w:val="24"/>
          <w:lang w:eastAsia="en-US"/>
        </w:rPr>
        <w:t xml:space="preserve">and structure </w:t>
      </w:r>
      <w:r w:rsidRPr="00297E22">
        <w:rPr>
          <w:rFonts w:ascii="Calibri" w:eastAsia="Helvetica" w:hAnsi="Calibri" w:cs="Helvetica"/>
          <w:szCs w:val="24"/>
          <w:lang w:eastAsia="en-US"/>
        </w:rPr>
        <w:t xml:space="preserve">of a more concerted and collective global effort to accelerate progress towards UHC through </w:t>
      </w:r>
      <w:r w:rsidR="00DD516A" w:rsidRPr="00297E22">
        <w:rPr>
          <w:rFonts w:ascii="Calibri" w:eastAsia="Helvetica" w:hAnsi="Calibri" w:cs="Helvetica"/>
          <w:szCs w:val="24"/>
          <w:lang w:eastAsia="en-US"/>
        </w:rPr>
        <w:t>building an</w:t>
      </w:r>
      <w:r w:rsidR="00D40F9A" w:rsidRPr="00297E22">
        <w:rPr>
          <w:rFonts w:ascii="Calibri" w:eastAsia="Helvetica" w:hAnsi="Calibri" w:cs="Helvetica"/>
          <w:szCs w:val="24"/>
          <w:lang w:eastAsia="en-US"/>
        </w:rPr>
        <w:t xml:space="preserve"> </w:t>
      </w:r>
      <w:r w:rsidR="0001682F" w:rsidRPr="00297E22">
        <w:rPr>
          <w:rFonts w:ascii="Calibri" w:eastAsia="Helvetica" w:hAnsi="Calibri" w:cs="Helvetica"/>
          <w:szCs w:val="24"/>
          <w:lang w:eastAsia="en-US"/>
        </w:rPr>
        <w:t xml:space="preserve">alliance </w:t>
      </w:r>
      <w:r w:rsidR="00D40F9A" w:rsidRPr="00297E22">
        <w:rPr>
          <w:rFonts w:ascii="Calibri" w:eastAsia="Helvetica" w:hAnsi="Calibri" w:cs="Helvetica"/>
          <w:szCs w:val="24"/>
          <w:lang w:eastAsia="en-US"/>
        </w:rPr>
        <w:t xml:space="preserve">and </w:t>
      </w:r>
      <w:r w:rsidR="0001682F" w:rsidRPr="00297E22">
        <w:rPr>
          <w:rFonts w:ascii="Calibri" w:eastAsia="Helvetica" w:hAnsi="Calibri" w:cs="Helvetica"/>
          <w:szCs w:val="24"/>
          <w:lang w:eastAsia="en-US"/>
        </w:rPr>
        <w:t>partnership</w:t>
      </w:r>
      <w:r w:rsidR="00D40F9A" w:rsidRPr="00297E22">
        <w:rPr>
          <w:rFonts w:ascii="Calibri" w:eastAsia="Helvetica" w:hAnsi="Calibri" w:cs="Helvetica"/>
          <w:szCs w:val="24"/>
          <w:lang w:eastAsia="en-US"/>
        </w:rPr>
        <w:t xml:space="preserve"> for UHC</w:t>
      </w:r>
      <w:r w:rsidR="008B24D3" w:rsidRPr="00297E22">
        <w:rPr>
          <w:rFonts w:ascii="Calibri" w:eastAsia="Helvetica" w:hAnsi="Calibri" w:cs="Helvetica"/>
          <w:szCs w:val="24"/>
          <w:lang w:eastAsia="en-US"/>
        </w:rPr>
        <w:t xml:space="preserve"> </w:t>
      </w:r>
      <w:r w:rsidR="00D40F9A" w:rsidRPr="00297E22">
        <w:rPr>
          <w:rFonts w:ascii="Calibri" w:eastAsia="Helvetica" w:hAnsi="Calibri" w:cs="Helvetica"/>
          <w:szCs w:val="24"/>
          <w:lang w:eastAsia="en-US"/>
        </w:rPr>
        <w:t>2030</w:t>
      </w:r>
      <w:r w:rsidR="0001682F" w:rsidRPr="00297E22">
        <w:rPr>
          <w:rFonts w:ascii="Calibri" w:eastAsia="Helvetica" w:hAnsi="Calibri" w:cs="Helvetica"/>
          <w:szCs w:val="24"/>
          <w:lang w:eastAsia="en-US"/>
        </w:rPr>
        <w:t xml:space="preserve"> (referred to hereafter as </w:t>
      </w:r>
      <w:r w:rsidR="00DD516A" w:rsidRPr="00297E22">
        <w:rPr>
          <w:rFonts w:ascii="Calibri" w:eastAsia="Helvetica" w:hAnsi="Calibri" w:cs="Helvetica"/>
          <w:szCs w:val="24"/>
          <w:lang w:eastAsia="en-US"/>
        </w:rPr>
        <w:t>“</w:t>
      </w:r>
      <w:r w:rsidR="0001682F" w:rsidRPr="00297E22">
        <w:rPr>
          <w:rFonts w:ascii="Calibri" w:eastAsia="Helvetica" w:hAnsi="Calibri" w:cs="Helvetica"/>
          <w:szCs w:val="24"/>
          <w:lang w:eastAsia="en-US"/>
        </w:rPr>
        <w:t>UHC 2030</w:t>
      </w:r>
      <w:r w:rsidR="00DD516A" w:rsidRPr="00297E22">
        <w:rPr>
          <w:rFonts w:ascii="Calibri" w:eastAsia="Helvetica" w:hAnsi="Calibri" w:cs="Helvetica"/>
          <w:szCs w:val="24"/>
          <w:lang w:eastAsia="en-US"/>
        </w:rPr>
        <w:t>”</w:t>
      </w:r>
      <w:r w:rsidR="0001682F" w:rsidRPr="00297E22">
        <w:rPr>
          <w:rFonts w:ascii="Calibri" w:eastAsia="Helvetica" w:hAnsi="Calibri" w:cs="Helvetica"/>
          <w:szCs w:val="24"/>
          <w:lang w:eastAsia="en-US"/>
        </w:rPr>
        <w:t xml:space="preserve"> as a working title)</w:t>
      </w:r>
      <w:r w:rsidRPr="00297E22">
        <w:rPr>
          <w:rFonts w:ascii="Calibri" w:eastAsia="Helvetica" w:hAnsi="Calibri" w:cs="Helvetica"/>
          <w:szCs w:val="24"/>
          <w:lang w:eastAsia="en-US"/>
        </w:rPr>
        <w:t xml:space="preserve">.   </w:t>
      </w:r>
    </w:p>
    <w:tbl>
      <w:tblPr>
        <w:tblStyle w:val="TableGrid"/>
        <w:tblW w:w="0" w:type="auto"/>
        <w:tblLook w:val="04A0" w:firstRow="1" w:lastRow="0" w:firstColumn="1" w:lastColumn="0" w:noHBand="0" w:noVBand="1"/>
      </w:tblPr>
      <w:tblGrid>
        <w:gridCol w:w="9572"/>
      </w:tblGrid>
      <w:tr w:rsidR="00AB20D8" w:rsidRPr="0085738B" w:rsidTr="00AB20D8">
        <w:tc>
          <w:tcPr>
            <w:tcW w:w="9572" w:type="dxa"/>
          </w:tcPr>
          <w:p w:rsidR="00AB20D8" w:rsidRPr="0085738B" w:rsidRDefault="00AB7969" w:rsidP="00EB24AB">
            <w:pPr>
              <w:spacing w:after="120"/>
              <w:rPr>
                <w:b/>
                <w:bCs/>
                <w:sz w:val="20"/>
                <w:szCs w:val="18"/>
              </w:rPr>
            </w:pPr>
            <w:r>
              <w:rPr>
                <w:b/>
                <w:bCs/>
                <w:sz w:val="20"/>
                <w:szCs w:val="18"/>
              </w:rPr>
              <w:t xml:space="preserve">Box </w:t>
            </w:r>
            <w:r w:rsidR="007176BC">
              <w:rPr>
                <w:b/>
                <w:bCs/>
                <w:sz w:val="20"/>
                <w:szCs w:val="18"/>
              </w:rPr>
              <w:t xml:space="preserve">1: </w:t>
            </w:r>
            <w:r w:rsidR="00AB20D8" w:rsidRPr="0085738B">
              <w:rPr>
                <w:b/>
                <w:bCs/>
                <w:sz w:val="20"/>
                <w:szCs w:val="18"/>
              </w:rPr>
              <w:t>The International Health Partnership – what it is and what it does</w:t>
            </w:r>
          </w:p>
          <w:p w:rsidR="00AB20D8" w:rsidRPr="0085738B" w:rsidRDefault="00AB20D8" w:rsidP="000630E2">
            <w:pPr>
              <w:spacing w:after="120"/>
              <w:rPr>
                <w:sz w:val="18"/>
                <w:szCs w:val="18"/>
              </w:rPr>
            </w:pPr>
            <w:r w:rsidRPr="0085738B">
              <w:rPr>
                <w:sz w:val="18"/>
                <w:szCs w:val="18"/>
              </w:rPr>
              <w:t>The International Health Partnership was established in 2007 to promote more effective development cooperation in health. IHP+ signatories commit to support a single country-led national health strategy and move towards using country systems with the view of achieving better results</w:t>
            </w:r>
            <w:r w:rsidR="008B24D3" w:rsidRPr="0085738B">
              <w:rPr>
                <w:sz w:val="18"/>
                <w:szCs w:val="18"/>
              </w:rPr>
              <w:t xml:space="preserve"> in health reforms</w:t>
            </w:r>
            <w:r w:rsidRPr="0085738B">
              <w:rPr>
                <w:sz w:val="18"/>
                <w:szCs w:val="18"/>
              </w:rPr>
              <w:t>.</w:t>
            </w:r>
          </w:p>
          <w:p w:rsidR="00AD4F7C" w:rsidRPr="0085738B" w:rsidRDefault="00AB20D8" w:rsidP="000630E2">
            <w:pPr>
              <w:rPr>
                <w:i/>
                <w:iCs/>
                <w:sz w:val="18"/>
                <w:szCs w:val="18"/>
              </w:rPr>
            </w:pPr>
            <w:r w:rsidRPr="002E1663">
              <w:rPr>
                <w:b/>
                <w:i/>
                <w:iCs/>
                <w:sz w:val="18"/>
                <w:szCs w:val="18"/>
              </w:rPr>
              <w:t xml:space="preserve">Some benefits </w:t>
            </w:r>
            <w:r w:rsidR="00E57BC7" w:rsidRPr="002E1663">
              <w:rPr>
                <w:b/>
                <w:i/>
                <w:iCs/>
                <w:sz w:val="18"/>
                <w:szCs w:val="18"/>
              </w:rPr>
              <w:t xml:space="preserve">of </w:t>
            </w:r>
            <w:r w:rsidR="002E1663" w:rsidRPr="002E1663">
              <w:rPr>
                <w:b/>
                <w:i/>
                <w:iCs/>
                <w:sz w:val="18"/>
                <w:szCs w:val="18"/>
              </w:rPr>
              <w:t>IHP+</w:t>
            </w:r>
          </w:p>
          <w:p w:rsidR="00AB20D8" w:rsidRPr="0085738B" w:rsidRDefault="00AB20D8" w:rsidP="000630E2">
            <w:pPr>
              <w:numPr>
                <w:ilvl w:val="0"/>
                <w:numId w:val="16"/>
              </w:numPr>
              <w:rPr>
                <w:sz w:val="18"/>
                <w:szCs w:val="18"/>
              </w:rPr>
            </w:pPr>
            <w:r w:rsidRPr="0085738B">
              <w:rPr>
                <w:sz w:val="18"/>
                <w:szCs w:val="18"/>
              </w:rPr>
              <w:t>Advocacy around norms/principles: codifying good practice through the Seven Behaviours</w:t>
            </w:r>
          </w:p>
          <w:p w:rsidR="00AB20D8" w:rsidRPr="0085738B" w:rsidRDefault="00AB20D8" w:rsidP="000630E2">
            <w:pPr>
              <w:numPr>
                <w:ilvl w:val="0"/>
                <w:numId w:val="16"/>
              </w:numPr>
              <w:rPr>
                <w:sz w:val="18"/>
                <w:szCs w:val="18"/>
              </w:rPr>
            </w:pPr>
            <w:r w:rsidRPr="0085738B">
              <w:rPr>
                <w:sz w:val="18"/>
                <w:szCs w:val="18"/>
              </w:rPr>
              <w:t>An open platform for inclusive dialogue and exchange, with greater participation of civil society in health policy processes at country level</w:t>
            </w:r>
          </w:p>
          <w:p w:rsidR="00AB20D8" w:rsidRPr="0085738B" w:rsidRDefault="00AB20D8" w:rsidP="000630E2">
            <w:pPr>
              <w:numPr>
                <w:ilvl w:val="0"/>
                <w:numId w:val="16"/>
              </w:numPr>
              <w:rPr>
                <w:sz w:val="18"/>
                <w:szCs w:val="18"/>
              </w:rPr>
            </w:pPr>
            <w:r w:rsidRPr="0085738B">
              <w:rPr>
                <w:sz w:val="18"/>
                <w:szCs w:val="18"/>
              </w:rPr>
              <w:t>Strong country focus:</w:t>
            </w:r>
          </w:p>
          <w:p w:rsidR="00EB24AB" w:rsidRPr="0085738B" w:rsidRDefault="00AB20D8" w:rsidP="000630E2">
            <w:pPr>
              <w:numPr>
                <w:ilvl w:val="1"/>
                <w:numId w:val="19"/>
              </w:numPr>
              <w:rPr>
                <w:sz w:val="18"/>
                <w:szCs w:val="18"/>
              </w:rPr>
            </w:pPr>
            <w:r w:rsidRPr="0085738B">
              <w:rPr>
                <w:sz w:val="18"/>
                <w:szCs w:val="18"/>
              </w:rPr>
              <w:t>Accountability</w:t>
            </w:r>
            <w:r w:rsidR="004C0834" w:rsidRPr="0085738B">
              <w:rPr>
                <w:sz w:val="18"/>
                <w:szCs w:val="18"/>
              </w:rPr>
              <w:t xml:space="preserve"> for results</w:t>
            </w:r>
            <w:r w:rsidRPr="0085738B">
              <w:rPr>
                <w:sz w:val="18"/>
                <w:szCs w:val="18"/>
              </w:rPr>
              <w:t>:</w:t>
            </w:r>
            <w:r w:rsidR="004C0834" w:rsidRPr="0085738B">
              <w:rPr>
                <w:sz w:val="18"/>
                <w:szCs w:val="18"/>
              </w:rPr>
              <w:t xml:space="preserve"> focus on results, using shared mechanisms for reviewing performance, and greater mutual accountability by monitoring progress on partners’ commitments</w:t>
            </w:r>
            <w:r w:rsidRPr="0085738B">
              <w:rPr>
                <w:sz w:val="18"/>
                <w:szCs w:val="18"/>
              </w:rPr>
              <w:t xml:space="preserve"> </w:t>
            </w:r>
          </w:p>
          <w:p w:rsidR="00AB20D8" w:rsidRPr="0085738B" w:rsidRDefault="00AB20D8" w:rsidP="000630E2">
            <w:pPr>
              <w:numPr>
                <w:ilvl w:val="1"/>
                <w:numId w:val="19"/>
              </w:numPr>
              <w:rPr>
                <w:sz w:val="18"/>
                <w:szCs w:val="18"/>
              </w:rPr>
            </w:pPr>
            <w:r w:rsidRPr="0085738B">
              <w:rPr>
                <w:sz w:val="18"/>
                <w:szCs w:val="18"/>
              </w:rPr>
              <w:t xml:space="preserve">Practical tools to support alignment in planning, management and monitoring, including guidance for: country compacts; </w:t>
            </w:r>
            <w:r w:rsidRPr="0085738B">
              <w:rPr>
                <w:sz w:val="18"/>
                <w:szCs w:val="18"/>
                <w:lang w:val="en"/>
              </w:rPr>
              <w:t>joint Assessment of National Health Strategies (</w:t>
            </w:r>
            <w:r w:rsidRPr="0085738B">
              <w:rPr>
                <w:sz w:val="18"/>
                <w:szCs w:val="18"/>
              </w:rPr>
              <w:t>JANS); joint monitoring, evaluation and review of national health strategies; joint assessment of financial management</w:t>
            </w:r>
          </w:p>
          <w:p w:rsidR="00AB20D8" w:rsidRPr="0085738B" w:rsidRDefault="00AB20D8" w:rsidP="000630E2">
            <w:pPr>
              <w:pStyle w:val="ListParagraph"/>
              <w:numPr>
                <w:ilvl w:val="0"/>
                <w:numId w:val="15"/>
              </w:numPr>
              <w:ind w:left="714" w:hanging="357"/>
              <w:rPr>
                <w:sz w:val="18"/>
                <w:szCs w:val="18"/>
              </w:rPr>
            </w:pPr>
            <w:r w:rsidRPr="0085738B">
              <w:rPr>
                <w:sz w:val="18"/>
                <w:szCs w:val="18"/>
              </w:rPr>
              <w:t>Strong government ownership and leadership, translating into greater confidence in national health strategies, improved policy dialogue and partnerships</w:t>
            </w:r>
          </w:p>
          <w:p w:rsidR="00AB20D8" w:rsidRPr="0085738B" w:rsidRDefault="00AB20D8" w:rsidP="000630E2">
            <w:pPr>
              <w:numPr>
                <w:ilvl w:val="0"/>
                <w:numId w:val="17"/>
              </w:numPr>
              <w:rPr>
                <w:sz w:val="18"/>
                <w:szCs w:val="18"/>
              </w:rPr>
            </w:pPr>
            <w:r w:rsidRPr="0085738B">
              <w:rPr>
                <w:sz w:val="18"/>
                <w:szCs w:val="18"/>
              </w:rPr>
              <w:t>Impact of IHP+ principles/seven behaviours beyond aid management:  stronger country systems around planning, management and accountability for results, despite little progress in development partners’ using country systems</w:t>
            </w:r>
          </w:p>
          <w:p w:rsidR="00AB20D8" w:rsidRPr="0085738B" w:rsidRDefault="00AB20D8" w:rsidP="000630E2">
            <w:pPr>
              <w:numPr>
                <w:ilvl w:val="0"/>
                <w:numId w:val="17"/>
              </w:numPr>
              <w:spacing w:after="120"/>
              <w:ind w:left="714" w:hanging="357"/>
              <w:rPr>
                <w:sz w:val="18"/>
                <w:szCs w:val="18"/>
              </w:rPr>
            </w:pPr>
            <w:r w:rsidRPr="0085738B">
              <w:rPr>
                <w:sz w:val="18"/>
                <w:szCs w:val="18"/>
              </w:rPr>
              <w:t>Feedback from countries: a useful input into multi-stakeholder policy dialogue and a contribution to enhance the profile /quality of performance monitoring</w:t>
            </w:r>
          </w:p>
          <w:p w:rsidR="00AD4F7C" w:rsidRPr="0085738B" w:rsidRDefault="00AB20D8" w:rsidP="000630E2">
            <w:pPr>
              <w:rPr>
                <w:sz w:val="18"/>
                <w:szCs w:val="18"/>
              </w:rPr>
            </w:pPr>
            <w:r w:rsidRPr="002E1663">
              <w:rPr>
                <w:b/>
                <w:i/>
                <w:iCs/>
                <w:sz w:val="18"/>
                <w:szCs w:val="18"/>
              </w:rPr>
              <w:t>IHP+ in figures</w:t>
            </w:r>
          </w:p>
          <w:p w:rsidR="00AB20D8" w:rsidRPr="0085738B" w:rsidRDefault="00AB20D8" w:rsidP="000630E2">
            <w:pPr>
              <w:pStyle w:val="ListParagraph"/>
              <w:numPr>
                <w:ilvl w:val="0"/>
                <w:numId w:val="15"/>
              </w:numPr>
              <w:rPr>
                <w:sz w:val="18"/>
                <w:szCs w:val="18"/>
              </w:rPr>
            </w:pPr>
            <w:r w:rsidRPr="0085738B">
              <w:rPr>
                <w:sz w:val="18"/>
                <w:szCs w:val="18"/>
              </w:rPr>
              <w:t>37 country signatories and 29 health development partners, with CSOs engaging actively</w:t>
            </w:r>
          </w:p>
          <w:p w:rsidR="00AB20D8" w:rsidRPr="0085738B" w:rsidRDefault="00AB20D8" w:rsidP="000630E2">
            <w:pPr>
              <w:pStyle w:val="ListParagraph"/>
              <w:numPr>
                <w:ilvl w:val="0"/>
                <w:numId w:val="15"/>
              </w:numPr>
              <w:rPr>
                <w:sz w:val="18"/>
                <w:szCs w:val="18"/>
              </w:rPr>
            </w:pPr>
            <w:r w:rsidRPr="0085738B">
              <w:rPr>
                <w:sz w:val="18"/>
                <w:szCs w:val="18"/>
              </w:rPr>
              <w:t xml:space="preserve">50% of countries have developed country compacts after joining IHP+, while another 20% of countries have existing partnership agreements or </w:t>
            </w:r>
            <w:r w:rsidR="00BE243E">
              <w:rPr>
                <w:sz w:val="18"/>
                <w:szCs w:val="18"/>
              </w:rPr>
              <w:t>memorandum of understanding</w:t>
            </w:r>
            <w:r w:rsidR="00BE243E" w:rsidRPr="0085738B">
              <w:rPr>
                <w:sz w:val="18"/>
                <w:szCs w:val="18"/>
              </w:rPr>
              <w:t xml:space="preserve"> </w:t>
            </w:r>
            <w:r w:rsidRPr="0085738B">
              <w:rPr>
                <w:sz w:val="18"/>
                <w:szCs w:val="18"/>
              </w:rPr>
              <w:t xml:space="preserve">around </w:t>
            </w:r>
            <w:r w:rsidR="00BE243E">
              <w:rPr>
                <w:sz w:val="18"/>
                <w:szCs w:val="18"/>
              </w:rPr>
              <w:t>Sector Wide Approaches (</w:t>
            </w:r>
            <w:r w:rsidRPr="0085738B">
              <w:rPr>
                <w:sz w:val="18"/>
                <w:szCs w:val="18"/>
              </w:rPr>
              <w:t>SWAps</w:t>
            </w:r>
            <w:r w:rsidR="00BE243E">
              <w:rPr>
                <w:sz w:val="18"/>
                <w:szCs w:val="18"/>
              </w:rPr>
              <w:t>)</w:t>
            </w:r>
            <w:r w:rsidRPr="0085738B">
              <w:rPr>
                <w:sz w:val="18"/>
                <w:szCs w:val="18"/>
              </w:rPr>
              <w:t xml:space="preserve"> which can serve the purpose of a country compact and 14% countries are in the process of developing a compact</w:t>
            </w:r>
          </w:p>
          <w:p w:rsidR="00AB20D8" w:rsidRPr="0085738B" w:rsidRDefault="00AB20D8" w:rsidP="000630E2">
            <w:pPr>
              <w:pStyle w:val="ListParagraph"/>
              <w:numPr>
                <w:ilvl w:val="0"/>
                <w:numId w:val="15"/>
              </w:numPr>
              <w:rPr>
                <w:sz w:val="18"/>
                <w:szCs w:val="18"/>
              </w:rPr>
            </w:pPr>
            <w:r w:rsidRPr="0085738B">
              <w:rPr>
                <w:sz w:val="18"/>
                <w:szCs w:val="18"/>
              </w:rPr>
              <w:t>Increased participation in monitoring: 31 countries in 2016, up from 24 countries (2014), 19 countries (2012) and 10 countries (2010)</w:t>
            </w:r>
          </w:p>
          <w:p w:rsidR="00AB20D8" w:rsidRPr="0085738B" w:rsidRDefault="00AB20D8" w:rsidP="000630E2">
            <w:pPr>
              <w:pStyle w:val="ListParagraph"/>
              <w:numPr>
                <w:ilvl w:val="0"/>
                <w:numId w:val="15"/>
              </w:numPr>
              <w:rPr>
                <w:sz w:val="18"/>
                <w:szCs w:val="18"/>
              </w:rPr>
            </w:pPr>
            <w:r w:rsidRPr="0085738B">
              <w:rPr>
                <w:sz w:val="18"/>
                <w:szCs w:val="18"/>
              </w:rPr>
              <w:t>The IHP+ monitoring process in 2014 shows that:</w:t>
            </w:r>
          </w:p>
          <w:p w:rsidR="00AB20D8" w:rsidRPr="0085738B" w:rsidRDefault="00AB20D8" w:rsidP="000630E2">
            <w:pPr>
              <w:pStyle w:val="ListParagraph"/>
              <w:numPr>
                <w:ilvl w:val="1"/>
                <w:numId w:val="20"/>
              </w:numPr>
              <w:rPr>
                <w:sz w:val="18"/>
                <w:szCs w:val="18"/>
              </w:rPr>
            </w:pPr>
            <w:r w:rsidRPr="0085738B">
              <w:rPr>
                <w:sz w:val="18"/>
                <w:szCs w:val="18"/>
              </w:rPr>
              <w:t>94% of IHP+ countries have jointly assessed national strategies (up from 59% in 2005/07)</w:t>
            </w:r>
          </w:p>
          <w:p w:rsidR="00AB20D8" w:rsidRPr="0085738B" w:rsidRDefault="00AB20D8" w:rsidP="000630E2">
            <w:pPr>
              <w:pStyle w:val="ListParagraph"/>
              <w:numPr>
                <w:ilvl w:val="1"/>
                <w:numId w:val="20"/>
              </w:numPr>
              <w:rPr>
                <w:sz w:val="18"/>
                <w:szCs w:val="18"/>
              </w:rPr>
            </w:pPr>
            <w:r w:rsidRPr="0085738B">
              <w:rPr>
                <w:sz w:val="18"/>
                <w:szCs w:val="18"/>
              </w:rPr>
              <w:t xml:space="preserve">71% of IHP+ countries involve CSOs in joint annual reviews (up to 8% in 2005/07) </w:t>
            </w:r>
          </w:p>
          <w:p w:rsidR="00036DB2" w:rsidRPr="0085738B" w:rsidRDefault="00AB20D8" w:rsidP="000630E2">
            <w:pPr>
              <w:pStyle w:val="ListParagraph"/>
              <w:numPr>
                <w:ilvl w:val="1"/>
                <w:numId w:val="20"/>
              </w:numPr>
              <w:spacing w:after="120"/>
              <w:rPr>
                <w:sz w:val="18"/>
                <w:szCs w:val="18"/>
              </w:rPr>
            </w:pPr>
            <w:r w:rsidRPr="0085738B">
              <w:rPr>
                <w:sz w:val="18"/>
                <w:szCs w:val="18"/>
              </w:rPr>
              <w:t>80% of IHP+ countries have a medium-term expenditure framework or a three-year rolling budget/plan for the health sector</w:t>
            </w:r>
          </w:p>
          <w:p w:rsidR="00036DB2" w:rsidRPr="002E1663" w:rsidRDefault="00036DB2" w:rsidP="000630E2">
            <w:pPr>
              <w:shd w:val="clear" w:color="auto" w:fill="FFFFFF" w:themeFill="background1"/>
              <w:autoSpaceDE w:val="0"/>
              <w:autoSpaceDN w:val="0"/>
              <w:adjustRightInd w:val="0"/>
              <w:spacing w:before="120" w:after="120"/>
              <w:rPr>
                <w:rFonts w:cs="Arial"/>
                <w:b/>
                <w:bCs/>
                <w:i/>
                <w:sz w:val="18"/>
                <w:szCs w:val="18"/>
              </w:rPr>
            </w:pPr>
            <w:r w:rsidRPr="002E1663">
              <w:rPr>
                <w:rFonts w:cs="Arial"/>
                <w:b/>
                <w:bCs/>
                <w:i/>
                <w:sz w:val="18"/>
                <w:szCs w:val="18"/>
              </w:rPr>
              <w:t>Walking the talk in Ethiopia - Aligning behind the national health strategy and country systems</w:t>
            </w:r>
          </w:p>
          <w:p w:rsidR="003D0AEC" w:rsidRPr="0085738B" w:rsidRDefault="003D0AEC" w:rsidP="000630E2">
            <w:pPr>
              <w:shd w:val="clear" w:color="auto" w:fill="FFFFFF" w:themeFill="background1"/>
              <w:autoSpaceDE w:val="0"/>
              <w:autoSpaceDN w:val="0"/>
              <w:adjustRightInd w:val="0"/>
              <w:spacing w:after="120"/>
              <w:rPr>
                <w:rFonts w:eastAsia="Times New Roman" w:cs="Arial"/>
                <w:sz w:val="18"/>
                <w:szCs w:val="18"/>
              </w:rPr>
            </w:pPr>
            <w:r w:rsidRPr="0085738B">
              <w:rPr>
                <w:rFonts w:cs="Arial"/>
                <w:sz w:val="18"/>
                <w:szCs w:val="18"/>
              </w:rPr>
              <w:t>Strong government leadership in Ethiopia has put the principles of effective development cooperation into practice</w:t>
            </w:r>
            <w:r w:rsidR="00E469B1" w:rsidRPr="0085738B">
              <w:rPr>
                <w:rFonts w:cs="Arial"/>
                <w:sz w:val="18"/>
                <w:szCs w:val="18"/>
              </w:rPr>
              <w:t xml:space="preserve"> in the health sector, as the first </w:t>
            </w:r>
            <w:r w:rsidR="00036DB2" w:rsidRPr="0085738B">
              <w:rPr>
                <w:rFonts w:eastAsia="Times New Roman" w:cs="Arial"/>
                <w:sz w:val="18"/>
                <w:szCs w:val="18"/>
              </w:rPr>
              <w:t>country to</w:t>
            </w:r>
            <w:r w:rsidR="003F068B" w:rsidRPr="0085738B">
              <w:rPr>
                <w:rFonts w:eastAsia="Times New Roman" w:cs="Arial"/>
                <w:sz w:val="18"/>
                <w:szCs w:val="18"/>
              </w:rPr>
              <w:t xml:space="preserve"> sign a Country Compact in 2008</w:t>
            </w:r>
            <w:r w:rsidR="00036DB2" w:rsidRPr="0085738B">
              <w:rPr>
                <w:rFonts w:eastAsia="Times New Roman" w:cs="Arial"/>
                <w:sz w:val="18"/>
                <w:szCs w:val="18"/>
              </w:rPr>
              <w:t xml:space="preserve">. </w:t>
            </w:r>
            <w:r w:rsidR="00007F18" w:rsidRPr="0085738B">
              <w:rPr>
                <w:rFonts w:eastAsia="Times New Roman" w:cs="Arial"/>
                <w:sz w:val="18"/>
                <w:szCs w:val="18"/>
              </w:rPr>
              <w:t>This was followed by a joint financing agreement i</w:t>
            </w:r>
            <w:r w:rsidR="00036DB2" w:rsidRPr="0085738B">
              <w:rPr>
                <w:rFonts w:eastAsia="Times New Roman" w:cs="Arial"/>
                <w:sz w:val="18"/>
                <w:szCs w:val="18"/>
              </w:rPr>
              <w:t>n 2009</w:t>
            </w:r>
            <w:r w:rsidR="002B6A83">
              <w:rPr>
                <w:rFonts w:eastAsia="Times New Roman" w:cs="Arial"/>
                <w:sz w:val="18"/>
                <w:szCs w:val="18"/>
              </w:rPr>
              <w:t xml:space="preserve">, </w:t>
            </w:r>
            <w:r w:rsidR="0050249E">
              <w:rPr>
                <w:rFonts w:eastAsia="Times New Roman" w:cs="Arial"/>
                <w:sz w:val="18"/>
                <w:szCs w:val="18"/>
              </w:rPr>
              <w:t xml:space="preserve">which eventually included 12 </w:t>
            </w:r>
            <w:r w:rsidR="001911F6">
              <w:rPr>
                <w:rFonts w:eastAsia="Times New Roman" w:cs="Arial"/>
                <w:sz w:val="18"/>
                <w:szCs w:val="18"/>
              </w:rPr>
              <w:t xml:space="preserve">bilateral and multilateral </w:t>
            </w:r>
            <w:r w:rsidR="0050249E">
              <w:rPr>
                <w:rFonts w:eastAsia="Times New Roman" w:cs="Arial"/>
                <w:sz w:val="18"/>
                <w:szCs w:val="18"/>
              </w:rPr>
              <w:t xml:space="preserve">development partners, to support </w:t>
            </w:r>
            <w:r w:rsidR="00007F18" w:rsidRPr="0085738B">
              <w:rPr>
                <w:rFonts w:eastAsia="Times New Roman" w:cs="Arial"/>
                <w:sz w:val="18"/>
                <w:szCs w:val="18"/>
              </w:rPr>
              <w:t xml:space="preserve">the </w:t>
            </w:r>
            <w:r w:rsidR="00694795" w:rsidRPr="0085738B">
              <w:rPr>
                <w:rFonts w:eastAsia="Times New Roman" w:cs="Arial"/>
                <w:sz w:val="18"/>
                <w:szCs w:val="18"/>
              </w:rPr>
              <w:t>MDG Performance Fund (MDG PF). As</w:t>
            </w:r>
            <w:r w:rsidR="00BB66BB" w:rsidRPr="0085738B">
              <w:rPr>
                <w:rFonts w:eastAsia="Times New Roman" w:cs="Arial"/>
                <w:sz w:val="18"/>
                <w:szCs w:val="18"/>
              </w:rPr>
              <w:t xml:space="preserve"> </w:t>
            </w:r>
            <w:r w:rsidR="00761E11" w:rsidRPr="0085738B">
              <w:rPr>
                <w:rFonts w:eastAsia="Times New Roman" w:cs="Arial"/>
                <w:sz w:val="18"/>
                <w:szCs w:val="18"/>
              </w:rPr>
              <w:t>an un-earmarked p</w:t>
            </w:r>
            <w:r w:rsidR="00036DB2" w:rsidRPr="0085738B">
              <w:rPr>
                <w:rFonts w:eastAsia="Times New Roman" w:cs="Arial"/>
                <w:sz w:val="18"/>
                <w:szCs w:val="18"/>
              </w:rPr>
              <w:t>ooled funding mechanism managed by the Ministry of Health</w:t>
            </w:r>
            <w:r w:rsidR="00694795" w:rsidRPr="0085738B">
              <w:rPr>
                <w:rFonts w:eastAsia="Times New Roman" w:cs="Arial"/>
                <w:sz w:val="18"/>
                <w:szCs w:val="18"/>
              </w:rPr>
              <w:t xml:space="preserve">, </w:t>
            </w:r>
            <w:r w:rsidR="00673E2E" w:rsidRPr="0085738B">
              <w:rPr>
                <w:rFonts w:eastAsia="Times New Roman" w:cs="Arial"/>
                <w:sz w:val="18"/>
                <w:szCs w:val="18"/>
              </w:rPr>
              <w:t>t</w:t>
            </w:r>
            <w:r w:rsidR="00007F18" w:rsidRPr="0085738B">
              <w:rPr>
                <w:rFonts w:eastAsia="Times New Roman" w:cs="Arial"/>
                <w:sz w:val="18"/>
                <w:szCs w:val="18"/>
              </w:rPr>
              <w:t>he MDG PF</w:t>
            </w:r>
            <w:r w:rsidR="00036DB2" w:rsidRPr="0085738B">
              <w:rPr>
                <w:rFonts w:eastAsia="Times New Roman" w:cs="Arial"/>
                <w:sz w:val="18"/>
                <w:szCs w:val="18"/>
              </w:rPr>
              <w:t xml:space="preserve"> </w:t>
            </w:r>
            <w:r w:rsidR="00673E2E" w:rsidRPr="0085738B">
              <w:rPr>
                <w:rFonts w:eastAsia="Times New Roman" w:cs="Arial"/>
                <w:sz w:val="18"/>
                <w:szCs w:val="18"/>
              </w:rPr>
              <w:t xml:space="preserve">both </w:t>
            </w:r>
            <w:r w:rsidR="00694795" w:rsidRPr="0085738B">
              <w:rPr>
                <w:rFonts w:eastAsia="Times New Roman" w:cs="Arial"/>
                <w:sz w:val="18"/>
                <w:szCs w:val="18"/>
              </w:rPr>
              <w:t>increased</w:t>
            </w:r>
            <w:r w:rsidR="00730653" w:rsidRPr="0085738B">
              <w:rPr>
                <w:rFonts w:eastAsia="Times New Roman" w:cs="Arial"/>
                <w:sz w:val="18"/>
                <w:szCs w:val="18"/>
              </w:rPr>
              <w:t xml:space="preserve"> the volume and </w:t>
            </w:r>
            <w:r w:rsidR="00694795" w:rsidRPr="0085738B">
              <w:rPr>
                <w:rFonts w:eastAsia="Times New Roman" w:cs="Arial"/>
                <w:sz w:val="18"/>
                <w:szCs w:val="18"/>
              </w:rPr>
              <w:t>improved</w:t>
            </w:r>
            <w:r w:rsidR="00730653" w:rsidRPr="0085738B">
              <w:rPr>
                <w:rFonts w:eastAsia="Times New Roman" w:cs="Arial"/>
                <w:sz w:val="18"/>
                <w:szCs w:val="18"/>
              </w:rPr>
              <w:t xml:space="preserve"> the quality of</w:t>
            </w:r>
            <w:r w:rsidR="00036DB2" w:rsidRPr="0085738B">
              <w:rPr>
                <w:rFonts w:eastAsia="Times New Roman" w:cs="Arial"/>
                <w:sz w:val="18"/>
                <w:szCs w:val="18"/>
              </w:rPr>
              <w:t xml:space="preserve"> resource</w:t>
            </w:r>
            <w:r w:rsidR="001C7D6A" w:rsidRPr="0085738B">
              <w:rPr>
                <w:rFonts w:eastAsia="Times New Roman" w:cs="Arial"/>
                <w:sz w:val="18"/>
                <w:szCs w:val="18"/>
              </w:rPr>
              <w:t>s</w:t>
            </w:r>
            <w:r w:rsidR="00036DB2" w:rsidRPr="0085738B">
              <w:rPr>
                <w:rFonts w:eastAsia="Times New Roman" w:cs="Arial"/>
                <w:sz w:val="18"/>
                <w:szCs w:val="18"/>
              </w:rPr>
              <w:t xml:space="preserve"> </w:t>
            </w:r>
            <w:r w:rsidR="00730653" w:rsidRPr="0085738B">
              <w:rPr>
                <w:rFonts w:eastAsia="Times New Roman" w:cs="Arial"/>
                <w:sz w:val="18"/>
                <w:szCs w:val="18"/>
              </w:rPr>
              <w:t xml:space="preserve">allocated </w:t>
            </w:r>
            <w:r w:rsidR="00036DB2" w:rsidRPr="0085738B">
              <w:rPr>
                <w:rFonts w:eastAsia="Times New Roman" w:cs="Arial"/>
                <w:sz w:val="18"/>
                <w:szCs w:val="18"/>
              </w:rPr>
              <w:t>to underfunded health programmes</w:t>
            </w:r>
            <w:r w:rsidRPr="0085738B">
              <w:rPr>
                <w:rFonts w:eastAsia="Times New Roman" w:cs="Arial"/>
                <w:sz w:val="18"/>
                <w:szCs w:val="18"/>
              </w:rPr>
              <w:t xml:space="preserve">. </w:t>
            </w:r>
          </w:p>
          <w:p w:rsidR="00036DB2" w:rsidRDefault="00036DB2" w:rsidP="000630E2">
            <w:pPr>
              <w:shd w:val="clear" w:color="auto" w:fill="FFFFFF" w:themeFill="background1"/>
              <w:autoSpaceDE w:val="0"/>
              <w:autoSpaceDN w:val="0"/>
              <w:adjustRightInd w:val="0"/>
              <w:spacing w:after="120"/>
              <w:rPr>
                <w:rFonts w:cs="Arial"/>
                <w:sz w:val="18"/>
                <w:szCs w:val="18"/>
                <w:lang w:val="en"/>
              </w:rPr>
            </w:pPr>
            <w:r w:rsidRPr="0085738B">
              <w:rPr>
                <w:rFonts w:cs="Arial"/>
                <w:sz w:val="18"/>
                <w:szCs w:val="18"/>
              </w:rPr>
              <w:t xml:space="preserve">Ethiopia </w:t>
            </w:r>
            <w:r w:rsidR="006842E8" w:rsidRPr="0085738B">
              <w:rPr>
                <w:rFonts w:cs="Arial"/>
                <w:sz w:val="18"/>
                <w:szCs w:val="18"/>
              </w:rPr>
              <w:t xml:space="preserve">has applied IHP+ tools including the </w:t>
            </w:r>
            <w:r w:rsidRPr="0085738B">
              <w:rPr>
                <w:rFonts w:cs="Arial"/>
                <w:sz w:val="18"/>
                <w:szCs w:val="18"/>
              </w:rPr>
              <w:t xml:space="preserve">joint assessment of national strategies (JANS) </w:t>
            </w:r>
            <w:r w:rsidR="002530AC" w:rsidRPr="0085738B">
              <w:rPr>
                <w:rFonts w:cs="Arial"/>
                <w:sz w:val="18"/>
                <w:szCs w:val="18"/>
              </w:rPr>
              <w:t xml:space="preserve">to inform the </w:t>
            </w:r>
            <w:r w:rsidR="002530AC" w:rsidRPr="0085738B">
              <w:rPr>
                <w:rFonts w:cs="Arial"/>
                <w:sz w:val="18"/>
                <w:szCs w:val="18"/>
                <w:lang w:val="en"/>
              </w:rPr>
              <w:t xml:space="preserve">Health Systems Development Plan IV (2010-15) </w:t>
            </w:r>
            <w:r w:rsidR="002530AC" w:rsidRPr="0085738B">
              <w:rPr>
                <w:rFonts w:cs="Arial"/>
                <w:sz w:val="18"/>
                <w:szCs w:val="18"/>
              </w:rPr>
              <w:t xml:space="preserve">and the </w:t>
            </w:r>
            <w:r w:rsidR="00193B58" w:rsidRPr="0085738B">
              <w:rPr>
                <w:rFonts w:cs="Arial"/>
                <w:sz w:val="18"/>
                <w:szCs w:val="18"/>
              </w:rPr>
              <w:t xml:space="preserve">current </w:t>
            </w:r>
            <w:r w:rsidR="002530AC" w:rsidRPr="0085738B">
              <w:rPr>
                <w:rFonts w:cs="Arial"/>
                <w:sz w:val="18"/>
                <w:szCs w:val="18"/>
              </w:rPr>
              <w:t xml:space="preserve">Health </w:t>
            </w:r>
            <w:r w:rsidR="006842E8" w:rsidRPr="0085738B">
              <w:rPr>
                <w:rFonts w:cs="Arial"/>
                <w:sz w:val="18"/>
                <w:szCs w:val="18"/>
              </w:rPr>
              <w:t>Sector Transformation Plan</w:t>
            </w:r>
            <w:r w:rsidR="00193B58" w:rsidRPr="0085738B">
              <w:rPr>
                <w:rFonts w:cs="Arial"/>
                <w:sz w:val="18"/>
                <w:szCs w:val="18"/>
              </w:rPr>
              <w:t xml:space="preserve"> (HSTP)</w:t>
            </w:r>
            <w:r w:rsidR="002B6A83">
              <w:rPr>
                <w:rFonts w:cs="Arial"/>
                <w:sz w:val="18"/>
                <w:szCs w:val="18"/>
              </w:rPr>
              <w:t>,</w:t>
            </w:r>
            <w:r w:rsidR="0050249E">
              <w:rPr>
                <w:rFonts w:cs="Arial"/>
                <w:sz w:val="18"/>
                <w:szCs w:val="18"/>
              </w:rPr>
              <w:t xml:space="preserve"> and </w:t>
            </w:r>
            <w:r w:rsidR="006842E8" w:rsidRPr="0085738B">
              <w:rPr>
                <w:rFonts w:cs="Arial"/>
                <w:sz w:val="18"/>
                <w:szCs w:val="18"/>
                <w:lang w:val="en"/>
              </w:rPr>
              <w:t xml:space="preserve">a collective platform for </w:t>
            </w:r>
            <w:r w:rsidR="004E7420" w:rsidRPr="0085738B">
              <w:rPr>
                <w:rFonts w:cs="Arial"/>
                <w:sz w:val="18"/>
                <w:szCs w:val="18"/>
                <w:lang w:val="en"/>
              </w:rPr>
              <w:t xml:space="preserve">joint </w:t>
            </w:r>
            <w:r w:rsidR="006842E8" w:rsidRPr="0085738B">
              <w:rPr>
                <w:rFonts w:cs="Arial"/>
                <w:sz w:val="18"/>
                <w:szCs w:val="18"/>
                <w:lang w:val="en"/>
              </w:rPr>
              <w:t>annual review</w:t>
            </w:r>
            <w:r w:rsidR="001911F6">
              <w:rPr>
                <w:rFonts w:cs="Arial"/>
                <w:sz w:val="18"/>
                <w:szCs w:val="18"/>
                <w:lang w:val="en"/>
              </w:rPr>
              <w:t>.</w:t>
            </w:r>
          </w:p>
          <w:p w:rsidR="003B31B6" w:rsidRDefault="00604098" w:rsidP="000630E2">
            <w:pPr>
              <w:shd w:val="clear" w:color="auto" w:fill="FFFFFF" w:themeFill="background1"/>
              <w:autoSpaceDE w:val="0"/>
              <w:autoSpaceDN w:val="0"/>
              <w:adjustRightInd w:val="0"/>
              <w:spacing w:after="120"/>
              <w:rPr>
                <w:rFonts w:cs="Arial"/>
                <w:sz w:val="18"/>
                <w:szCs w:val="18"/>
                <w:lang w:val="en"/>
              </w:rPr>
            </w:pPr>
            <w:r>
              <w:rPr>
                <w:rFonts w:cs="Arial"/>
                <w:b/>
                <w:i/>
                <w:sz w:val="18"/>
                <w:szCs w:val="18"/>
                <w:lang w:val="en"/>
              </w:rPr>
              <w:t xml:space="preserve">Sierra Leone: </w:t>
            </w:r>
            <w:r w:rsidR="003B31B6" w:rsidRPr="00786EE2">
              <w:rPr>
                <w:rFonts w:cs="Arial"/>
                <w:b/>
                <w:i/>
                <w:sz w:val="18"/>
                <w:szCs w:val="18"/>
                <w:lang w:val="en"/>
              </w:rPr>
              <w:t>Developing a harmonized financial management arrangement for the health secto</w:t>
            </w:r>
            <w:r w:rsidR="003B31B6">
              <w:rPr>
                <w:rFonts w:cs="Arial"/>
                <w:sz w:val="18"/>
                <w:szCs w:val="18"/>
                <w:lang w:val="en"/>
              </w:rPr>
              <w:t>r</w:t>
            </w:r>
          </w:p>
          <w:p w:rsidR="00FF5531" w:rsidRDefault="00FF5531" w:rsidP="000630E2">
            <w:pPr>
              <w:shd w:val="clear" w:color="auto" w:fill="FFFFFF" w:themeFill="background1"/>
              <w:autoSpaceDE w:val="0"/>
              <w:autoSpaceDN w:val="0"/>
              <w:adjustRightInd w:val="0"/>
              <w:spacing w:after="120"/>
              <w:rPr>
                <w:rFonts w:cs="Arial"/>
                <w:sz w:val="18"/>
                <w:szCs w:val="18"/>
              </w:rPr>
            </w:pPr>
            <w:r>
              <w:rPr>
                <w:rFonts w:cs="Arial"/>
                <w:sz w:val="18"/>
                <w:szCs w:val="18"/>
              </w:rPr>
              <w:t>On request of the</w:t>
            </w:r>
            <w:r w:rsidRPr="000463BC">
              <w:rPr>
                <w:rFonts w:cs="Arial"/>
                <w:sz w:val="18"/>
                <w:szCs w:val="18"/>
              </w:rPr>
              <w:t xml:space="preserve"> Ministry of Health and Sanitation</w:t>
            </w:r>
            <w:r>
              <w:rPr>
                <w:rFonts w:cs="Arial"/>
                <w:sz w:val="18"/>
                <w:szCs w:val="18"/>
              </w:rPr>
              <w:t xml:space="preserve"> </w:t>
            </w:r>
            <w:r w:rsidRPr="000463BC">
              <w:rPr>
                <w:rFonts w:cs="Arial"/>
                <w:sz w:val="18"/>
                <w:szCs w:val="18"/>
              </w:rPr>
              <w:t>(MoHS</w:t>
            </w:r>
            <w:r>
              <w:rPr>
                <w:rFonts w:cs="Arial"/>
                <w:sz w:val="18"/>
                <w:szCs w:val="18"/>
              </w:rPr>
              <w:t xml:space="preserve">) in Sierra Leone, </w:t>
            </w:r>
            <w:r w:rsidRPr="000463BC">
              <w:rPr>
                <w:rFonts w:cs="Arial"/>
                <w:sz w:val="18"/>
                <w:szCs w:val="18"/>
              </w:rPr>
              <w:t xml:space="preserve">IHP+ </w:t>
            </w:r>
            <w:r>
              <w:rPr>
                <w:rFonts w:cs="Arial"/>
                <w:sz w:val="18"/>
                <w:szCs w:val="18"/>
              </w:rPr>
              <w:t xml:space="preserve">organised a series of joint missions in 2012 to assess </w:t>
            </w:r>
            <w:r w:rsidRPr="000463BC">
              <w:rPr>
                <w:rFonts w:cs="Arial"/>
                <w:sz w:val="18"/>
                <w:szCs w:val="18"/>
              </w:rPr>
              <w:t>the strengths and weaknesses of health sector financial management arrangements, consisting of</w:t>
            </w:r>
            <w:r>
              <w:rPr>
                <w:rFonts w:cs="Arial"/>
                <w:sz w:val="18"/>
                <w:szCs w:val="18"/>
              </w:rPr>
              <w:t xml:space="preserve"> the World Bank, Gavi</w:t>
            </w:r>
            <w:r w:rsidRPr="000463BC">
              <w:rPr>
                <w:rFonts w:cs="Arial"/>
                <w:sz w:val="18"/>
                <w:szCs w:val="18"/>
              </w:rPr>
              <w:t>, the Global Fund and WHO</w:t>
            </w:r>
            <w:r>
              <w:rPr>
                <w:rFonts w:cs="Arial"/>
                <w:sz w:val="18"/>
                <w:szCs w:val="18"/>
              </w:rPr>
              <w:t xml:space="preserve"> in collaboration with a counterpart country team.</w:t>
            </w:r>
          </w:p>
          <w:p w:rsidR="00DF1DE6" w:rsidRPr="00DF1DE6" w:rsidRDefault="00DF1DE6" w:rsidP="000630E2">
            <w:pPr>
              <w:shd w:val="clear" w:color="auto" w:fill="FFFFFF" w:themeFill="background1"/>
              <w:autoSpaceDE w:val="0"/>
              <w:autoSpaceDN w:val="0"/>
              <w:adjustRightInd w:val="0"/>
              <w:spacing w:after="120"/>
              <w:rPr>
                <w:rFonts w:cs="Arial"/>
                <w:sz w:val="18"/>
                <w:szCs w:val="18"/>
                <w:lang w:val="en"/>
              </w:rPr>
            </w:pPr>
            <w:r w:rsidRPr="00DF1DE6">
              <w:rPr>
                <w:rFonts w:cs="Arial"/>
                <w:sz w:val="18"/>
                <w:szCs w:val="18"/>
                <w:lang w:val="en"/>
              </w:rPr>
              <w:t>Based on the recommendations of the assessment, a new integrated health projects administration</w:t>
            </w:r>
            <w:r w:rsidR="00FF5531">
              <w:rPr>
                <w:rFonts w:cs="Arial"/>
                <w:sz w:val="18"/>
                <w:szCs w:val="18"/>
                <w:lang w:val="en"/>
              </w:rPr>
              <w:t xml:space="preserve"> unit</w:t>
            </w:r>
            <w:r w:rsidRPr="00DF1DE6">
              <w:rPr>
                <w:rFonts w:cs="Arial"/>
                <w:sz w:val="18"/>
                <w:szCs w:val="18"/>
                <w:lang w:val="en"/>
              </w:rPr>
              <w:t xml:space="preserve"> </w:t>
            </w:r>
            <w:r w:rsidR="00FF5531">
              <w:rPr>
                <w:rFonts w:cs="Arial"/>
                <w:sz w:val="18"/>
                <w:szCs w:val="18"/>
                <w:lang w:val="en"/>
              </w:rPr>
              <w:t xml:space="preserve"> was</w:t>
            </w:r>
            <w:r w:rsidRPr="00DF1DE6">
              <w:rPr>
                <w:rFonts w:cs="Arial"/>
                <w:sz w:val="18"/>
                <w:szCs w:val="18"/>
                <w:lang w:val="en"/>
              </w:rPr>
              <w:t xml:space="preserve"> established in the MoHS. The Unit </w:t>
            </w:r>
            <w:r w:rsidR="00FF5531">
              <w:rPr>
                <w:rFonts w:cs="Arial"/>
                <w:sz w:val="18"/>
                <w:szCs w:val="18"/>
                <w:lang w:val="en"/>
              </w:rPr>
              <w:t xml:space="preserve"> is now operational with </w:t>
            </w:r>
            <w:r w:rsidRPr="00DF1DE6">
              <w:rPr>
                <w:rFonts w:cs="Arial"/>
                <w:sz w:val="18"/>
                <w:szCs w:val="18"/>
                <w:lang w:val="en"/>
              </w:rPr>
              <w:t>initial funding provided by the World Bank and the Global Fund as part of the joint capacity building action plan</w:t>
            </w:r>
            <w:r w:rsidR="00F026A7">
              <w:rPr>
                <w:rFonts w:cs="Arial"/>
                <w:sz w:val="18"/>
                <w:szCs w:val="18"/>
                <w:lang w:val="en"/>
              </w:rPr>
              <w:t xml:space="preserve">. </w:t>
            </w:r>
            <w:r w:rsidR="00FF5531">
              <w:rPr>
                <w:rFonts w:cs="Arial"/>
                <w:sz w:val="18"/>
                <w:szCs w:val="18"/>
                <w:lang w:val="en"/>
              </w:rPr>
              <w:t>Another</w:t>
            </w:r>
            <w:r w:rsidRPr="00DF1DE6">
              <w:rPr>
                <w:rFonts w:cs="Arial"/>
                <w:sz w:val="18"/>
                <w:szCs w:val="18"/>
                <w:lang w:val="en"/>
              </w:rPr>
              <w:t xml:space="preserve"> outcome </w:t>
            </w:r>
            <w:r w:rsidR="00FF5531">
              <w:rPr>
                <w:rFonts w:cs="Arial"/>
                <w:sz w:val="18"/>
                <w:szCs w:val="18"/>
                <w:lang w:val="en"/>
              </w:rPr>
              <w:t xml:space="preserve">was the </w:t>
            </w:r>
            <w:r w:rsidRPr="00DF1DE6">
              <w:rPr>
                <w:rFonts w:cs="Arial"/>
                <w:sz w:val="18"/>
                <w:szCs w:val="18"/>
                <w:lang w:val="en"/>
              </w:rPr>
              <w:t xml:space="preserve">Joint Fiduciary Agreement </w:t>
            </w:r>
            <w:r w:rsidR="0061544E">
              <w:rPr>
                <w:rFonts w:cs="Arial"/>
                <w:sz w:val="18"/>
                <w:szCs w:val="18"/>
                <w:lang w:val="en"/>
              </w:rPr>
              <w:t xml:space="preserve">whereby all signatory </w:t>
            </w:r>
            <w:r w:rsidRPr="00DF1DE6">
              <w:rPr>
                <w:rFonts w:cs="Arial"/>
                <w:sz w:val="18"/>
                <w:szCs w:val="18"/>
                <w:lang w:val="en"/>
              </w:rPr>
              <w:t>development partner</w:t>
            </w:r>
            <w:r w:rsidR="0061544E">
              <w:rPr>
                <w:rFonts w:cs="Arial"/>
                <w:sz w:val="18"/>
                <w:szCs w:val="18"/>
                <w:lang w:val="en"/>
              </w:rPr>
              <w:t>s</w:t>
            </w:r>
            <w:r w:rsidRPr="00DF1DE6">
              <w:rPr>
                <w:rFonts w:cs="Arial"/>
                <w:sz w:val="18"/>
                <w:szCs w:val="18"/>
                <w:lang w:val="en"/>
              </w:rPr>
              <w:t xml:space="preserve"> commit</w:t>
            </w:r>
            <w:r w:rsidR="000630E2">
              <w:rPr>
                <w:rFonts w:cs="Arial"/>
                <w:sz w:val="18"/>
                <w:szCs w:val="18"/>
                <w:lang w:val="en"/>
              </w:rPr>
              <w:t xml:space="preserve"> to stre</w:t>
            </w:r>
            <w:r w:rsidR="0061544E">
              <w:rPr>
                <w:rFonts w:cs="Arial"/>
                <w:sz w:val="18"/>
                <w:szCs w:val="18"/>
                <w:lang w:val="en"/>
              </w:rPr>
              <w:t>n</w:t>
            </w:r>
            <w:r w:rsidR="000630E2">
              <w:rPr>
                <w:rFonts w:cs="Arial"/>
                <w:sz w:val="18"/>
                <w:szCs w:val="18"/>
                <w:lang w:val="en"/>
              </w:rPr>
              <w:t>g</w:t>
            </w:r>
            <w:r w:rsidR="0061544E">
              <w:rPr>
                <w:rFonts w:cs="Arial"/>
                <w:sz w:val="18"/>
                <w:szCs w:val="18"/>
                <w:lang w:val="en"/>
              </w:rPr>
              <w:t xml:space="preserve">then </w:t>
            </w:r>
            <w:r w:rsidRPr="00DF1DE6">
              <w:rPr>
                <w:rFonts w:cs="Arial"/>
                <w:sz w:val="18"/>
                <w:szCs w:val="18"/>
                <w:lang w:val="en"/>
              </w:rPr>
              <w:t>the government</w:t>
            </w:r>
            <w:r w:rsidR="0061544E">
              <w:rPr>
                <w:rFonts w:cs="Arial"/>
                <w:sz w:val="18"/>
                <w:szCs w:val="18"/>
                <w:lang w:val="en"/>
              </w:rPr>
              <w:t>’s</w:t>
            </w:r>
            <w:r w:rsidRPr="00DF1DE6">
              <w:rPr>
                <w:rFonts w:cs="Arial"/>
                <w:sz w:val="18"/>
                <w:szCs w:val="18"/>
                <w:lang w:val="en"/>
              </w:rPr>
              <w:t xml:space="preserve">  financial management system and use common fiduciary implementation arrangements with other partners.</w:t>
            </w:r>
          </w:p>
          <w:p w:rsidR="003B31B6" w:rsidRPr="000630E2" w:rsidRDefault="0061544E" w:rsidP="000630E2">
            <w:pPr>
              <w:keepNext/>
              <w:keepLines/>
              <w:shd w:val="clear" w:color="auto" w:fill="FFFFFF" w:themeFill="background1"/>
              <w:autoSpaceDE w:val="0"/>
              <w:autoSpaceDN w:val="0"/>
              <w:adjustRightInd w:val="0"/>
              <w:spacing w:before="200" w:after="120"/>
              <w:outlineLvl w:val="6"/>
              <w:rPr>
                <w:rFonts w:cs="Arial"/>
                <w:sz w:val="18"/>
                <w:szCs w:val="18"/>
                <w:lang w:val="en"/>
              </w:rPr>
            </w:pPr>
            <w:r>
              <w:rPr>
                <w:rFonts w:cs="Arial"/>
                <w:sz w:val="18"/>
                <w:szCs w:val="18"/>
                <w:lang w:val="en"/>
              </w:rPr>
              <w:t xml:space="preserve">Leadership by the MOHS has been </w:t>
            </w:r>
            <w:r w:rsidR="00DF1DE6" w:rsidRPr="00DF1DE6">
              <w:rPr>
                <w:rFonts w:cs="Arial"/>
                <w:sz w:val="18"/>
                <w:szCs w:val="18"/>
                <w:lang w:val="en"/>
              </w:rPr>
              <w:t xml:space="preserve">crucial </w:t>
            </w:r>
            <w:r>
              <w:rPr>
                <w:rFonts w:cs="Arial"/>
                <w:sz w:val="18"/>
                <w:szCs w:val="18"/>
                <w:lang w:val="en"/>
              </w:rPr>
              <w:t xml:space="preserve">with proactive engagement of the Ministry of Finance. </w:t>
            </w:r>
            <w:r w:rsidR="00DF1DE6" w:rsidRPr="00DF1DE6">
              <w:rPr>
                <w:rFonts w:cs="Arial"/>
                <w:sz w:val="18"/>
                <w:szCs w:val="18"/>
                <w:lang w:val="en"/>
              </w:rPr>
              <w:t>Together, with development partners, and under IHP+ coordination, the government is setting a good example of financial management harmonization and alignment that promises to minimize fragmentation, reduce transaction cost to both the government</w:t>
            </w:r>
            <w:r>
              <w:rPr>
                <w:rFonts w:cs="Arial"/>
                <w:sz w:val="18"/>
                <w:szCs w:val="18"/>
                <w:lang w:val="en"/>
              </w:rPr>
              <w:t xml:space="preserve"> and development partners</w:t>
            </w:r>
            <w:r w:rsidR="00DF1DE6" w:rsidRPr="00DF1DE6">
              <w:rPr>
                <w:rFonts w:cs="Arial"/>
                <w:sz w:val="18"/>
                <w:szCs w:val="18"/>
                <w:lang w:val="en"/>
              </w:rPr>
              <w:t>, and enhance transparency and accountability for the use of funds.</w:t>
            </w:r>
            <w:r>
              <w:rPr>
                <w:rFonts w:cs="Arial"/>
                <w:sz w:val="18"/>
                <w:szCs w:val="18"/>
              </w:rPr>
              <w:t xml:space="preserve"> This delivers on the national priority to im</w:t>
            </w:r>
            <w:r w:rsidRPr="000463BC">
              <w:rPr>
                <w:rFonts w:cs="Arial"/>
                <w:sz w:val="18"/>
                <w:szCs w:val="18"/>
              </w:rPr>
              <w:t xml:space="preserve">prove financial systems, as per the Government’s </w:t>
            </w:r>
            <w:r>
              <w:rPr>
                <w:rFonts w:cs="Arial"/>
                <w:sz w:val="18"/>
                <w:szCs w:val="18"/>
              </w:rPr>
              <w:t>‘Agenda for Change’.</w:t>
            </w:r>
          </w:p>
        </w:tc>
      </w:tr>
    </w:tbl>
    <w:p w:rsidR="00D765F9" w:rsidRPr="008B529B" w:rsidRDefault="00FC656B" w:rsidP="00581C2E">
      <w:pPr>
        <w:keepNext/>
        <w:keepLines/>
        <w:spacing w:before="120" w:after="240" w:line="240" w:lineRule="auto"/>
        <w:outlineLvl w:val="0"/>
        <w:rPr>
          <w:rFonts w:ascii="Cambria" w:eastAsia="Helvetica" w:hAnsi="Cambria" w:cs="Helvetica"/>
          <w:b/>
          <w:bCs/>
          <w:color w:val="499BC9"/>
          <w:sz w:val="26"/>
          <w:szCs w:val="32"/>
          <w:lang w:eastAsia="en-US"/>
        </w:rPr>
      </w:pPr>
      <w:bookmarkStart w:id="1" w:name="_Toc441446783"/>
      <w:bookmarkStart w:id="2" w:name="_Toc303348227"/>
      <w:bookmarkEnd w:id="0"/>
      <w:r>
        <w:rPr>
          <w:rFonts w:ascii="Cambria" w:eastAsia="Helvetica" w:hAnsi="Cambria" w:cs="Helvetica"/>
          <w:b/>
          <w:bCs/>
          <w:color w:val="499BC9"/>
          <w:sz w:val="26"/>
          <w:szCs w:val="32"/>
          <w:lang w:eastAsia="en-US"/>
        </w:rPr>
        <w:t>Aim and O</w:t>
      </w:r>
      <w:r w:rsidR="008B529B" w:rsidRPr="008B529B">
        <w:rPr>
          <w:rFonts w:ascii="Cambria" w:eastAsia="Helvetica" w:hAnsi="Cambria" w:cs="Helvetica"/>
          <w:b/>
          <w:bCs/>
          <w:color w:val="499BC9"/>
          <w:sz w:val="26"/>
          <w:szCs w:val="32"/>
          <w:lang w:eastAsia="en-US"/>
        </w:rPr>
        <w:t>bjectives</w:t>
      </w:r>
      <w:bookmarkEnd w:id="1"/>
      <w:r w:rsidR="008B529B" w:rsidRPr="008B529B">
        <w:rPr>
          <w:rFonts w:ascii="Cambria" w:eastAsia="Helvetica" w:hAnsi="Cambria" w:cs="Helvetica"/>
          <w:b/>
          <w:bCs/>
          <w:color w:val="499BC9"/>
          <w:sz w:val="26"/>
          <w:szCs w:val="32"/>
          <w:lang w:eastAsia="en-US"/>
        </w:rPr>
        <w:t xml:space="preserve"> </w:t>
      </w:r>
      <w:r w:rsidR="00AB20D8">
        <w:rPr>
          <w:rFonts w:ascii="Cambria" w:eastAsia="Helvetica" w:hAnsi="Cambria" w:cs="Helvetica"/>
          <w:b/>
          <w:bCs/>
          <w:color w:val="499BC9"/>
          <w:sz w:val="26"/>
          <w:szCs w:val="32"/>
          <w:lang w:eastAsia="en-US"/>
        </w:rPr>
        <w:t>of UHC 2030</w:t>
      </w:r>
    </w:p>
    <w:p w:rsidR="008B529B" w:rsidRPr="008B529B" w:rsidRDefault="008B529B" w:rsidP="00581C2E">
      <w:pPr>
        <w:spacing w:after="0" w:line="240" w:lineRule="auto"/>
        <w:rPr>
          <w:rFonts w:ascii="Calibri" w:eastAsia="Helvetica" w:hAnsi="Calibri" w:cs="Helvetica"/>
          <w:szCs w:val="24"/>
          <w:lang w:eastAsia="en-US"/>
        </w:rPr>
      </w:pPr>
      <w:r w:rsidRPr="008B529B">
        <w:rPr>
          <w:rFonts w:ascii="Calibri" w:eastAsia="Helvetica" w:hAnsi="Calibri" w:cs="Helvetica"/>
          <w:szCs w:val="24"/>
          <w:lang w:eastAsia="en-US"/>
        </w:rPr>
        <w:t xml:space="preserve">The overall aim of UHC 2030 would be </w:t>
      </w:r>
      <w:r w:rsidR="00D40F9A">
        <w:rPr>
          <w:rFonts w:ascii="Calibri" w:eastAsia="Helvetica" w:hAnsi="Calibri" w:cs="Helvetica"/>
          <w:szCs w:val="24"/>
          <w:lang w:eastAsia="en-US"/>
        </w:rPr>
        <w:t xml:space="preserve">to support </w:t>
      </w:r>
      <w:r w:rsidRPr="008B529B">
        <w:rPr>
          <w:rFonts w:ascii="Calibri" w:eastAsia="Helvetica" w:hAnsi="Calibri" w:cs="Helvetica"/>
          <w:szCs w:val="24"/>
          <w:lang w:eastAsia="en-US"/>
        </w:rPr>
        <w:t>a movement for accelerated, equitable and sustainable progress towards UHC as well as the other health targets in the SDGs</w:t>
      </w:r>
      <w:r w:rsidR="00E15F45">
        <w:rPr>
          <w:rFonts w:ascii="Calibri" w:eastAsia="Helvetica" w:hAnsi="Calibri" w:cs="Helvetica"/>
          <w:szCs w:val="24"/>
          <w:lang w:eastAsia="en-US"/>
        </w:rPr>
        <w:t>,</w:t>
      </w:r>
      <w:r w:rsidRPr="008B529B">
        <w:rPr>
          <w:rFonts w:ascii="Calibri" w:eastAsia="Helvetica" w:hAnsi="Calibri" w:cs="Helvetica"/>
          <w:szCs w:val="24"/>
          <w:lang w:eastAsia="en-US"/>
        </w:rPr>
        <w:t xml:space="preserve"> including </w:t>
      </w:r>
      <w:r w:rsidR="00A3313A">
        <w:rPr>
          <w:rFonts w:ascii="Calibri" w:eastAsia="Helvetica" w:hAnsi="Calibri" w:cs="Helvetica"/>
          <w:szCs w:val="24"/>
          <w:lang w:eastAsia="en-US"/>
        </w:rPr>
        <w:t>global</w:t>
      </w:r>
      <w:r w:rsidRPr="008B529B">
        <w:rPr>
          <w:rFonts w:ascii="Calibri" w:eastAsia="Helvetica" w:hAnsi="Calibri" w:cs="Helvetica"/>
          <w:szCs w:val="24"/>
          <w:lang w:eastAsia="en-US"/>
        </w:rPr>
        <w:t xml:space="preserve"> security and equity. </w:t>
      </w:r>
      <w:r w:rsidR="00D31B53">
        <w:rPr>
          <w:rStyle w:val="FootnoteReference"/>
          <w:rFonts w:ascii="Calibri" w:eastAsia="Helvetica" w:hAnsi="Calibri" w:cs="Helvetica"/>
          <w:szCs w:val="24"/>
          <w:lang w:eastAsia="en-US"/>
        </w:rPr>
        <w:footnoteReference w:id="7"/>
      </w:r>
    </w:p>
    <w:p w:rsidR="008B529B" w:rsidRPr="008B529B" w:rsidRDefault="008B529B" w:rsidP="00581C2E">
      <w:pPr>
        <w:spacing w:after="0" w:line="240" w:lineRule="auto"/>
        <w:rPr>
          <w:rFonts w:ascii="Calibri" w:eastAsia="Helvetica" w:hAnsi="Calibri" w:cs="Helvetica"/>
          <w:szCs w:val="24"/>
          <w:lang w:eastAsia="en-US"/>
        </w:rPr>
      </w:pPr>
    </w:p>
    <w:p w:rsidR="008B529B" w:rsidRPr="008B529B" w:rsidRDefault="00DD516A" w:rsidP="00581C2E">
      <w:pPr>
        <w:spacing w:after="0" w:line="240" w:lineRule="auto"/>
        <w:rPr>
          <w:rFonts w:ascii="Calibri" w:eastAsia="Helvetica" w:hAnsi="Calibri" w:cs="Helvetica"/>
          <w:szCs w:val="24"/>
          <w:lang w:eastAsia="en-US"/>
        </w:rPr>
      </w:pPr>
      <w:r>
        <w:rPr>
          <w:rFonts w:ascii="Calibri" w:eastAsia="Helvetica" w:hAnsi="Calibri" w:cs="Helvetica"/>
          <w:szCs w:val="24"/>
          <w:lang w:eastAsia="en-US"/>
        </w:rPr>
        <w:t xml:space="preserve">The main objectives of </w:t>
      </w:r>
      <w:r w:rsidR="008B529B" w:rsidRPr="008B529B">
        <w:rPr>
          <w:rFonts w:ascii="Calibri" w:eastAsia="Helvetica" w:hAnsi="Calibri" w:cs="Helvetica"/>
          <w:szCs w:val="24"/>
          <w:lang w:eastAsia="en-US"/>
        </w:rPr>
        <w:t>UHC 2030 would be to:</w:t>
      </w:r>
      <w:r w:rsidR="008B529B" w:rsidRPr="008B529B">
        <w:rPr>
          <w:rFonts w:ascii="Calibri" w:eastAsia="Helvetica" w:hAnsi="Calibri" w:cs="Helvetica"/>
          <w:szCs w:val="24"/>
          <w:vertAlign w:val="superscript"/>
          <w:lang w:eastAsia="en-US"/>
        </w:rPr>
        <w:t xml:space="preserve"> </w:t>
      </w:r>
    </w:p>
    <w:p w:rsidR="005F1804" w:rsidRPr="005F1804" w:rsidRDefault="00AD03CF" w:rsidP="002D28DD">
      <w:pPr>
        <w:numPr>
          <w:ilvl w:val="0"/>
          <w:numId w:val="23"/>
        </w:numPr>
        <w:spacing w:after="0" w:line="240" w:lineRule="auto"/>
        <w:contextualSpacing/>
        <w:rPr>
          <w:rFonts w:ascii="Calibri" w:eastAsia="Helvetica" w:hAnsi="Calibri" w:cs="Helvetica"/>
          <w:szCs w:val="24"/>
          <w:lang w:eastAsia="en-US"/>
        </w:rPr>
      </w:pPr>
      <w:r>
        <w:rPr>
          <w:rFonts w:ascii="Calibri" w:eastAsia="Helvetica" w:hAnsi="Calibri" w:cs="Helvetica"/>
          <w:szCs w:val="24"/>
          <w:lang w:eastAsia="en-US"/>
        </w:rPr>
        <w:t>Improve</w:t>
      </w:r>
      <w:r w:rsidR="00D4705D">
        <w:rPr>
          <w:rFonts w:ascii="Calibri" w:eastAsia="MS Mincho" w:hAnsi="Calibri" w:cs="Helvetica" w:hint="eastAsia"/>
          <w:szCs w:val="24"/>
          <w:lang w:eastAsia="ja-JP"/>
        </w:rPr>
        <w:t xml:space="preserve"> coordination of</w:t>
      </w:r>
      <w:r w:rsidR="005F1804" w:rsidRPr="003D7E56">
        <w:rPr>
          <w:rFonts w:ascii="Calibri" w:eastAsia="Helvetica" w:hAnsi="Calibri" w:cs="Helvetica"/>
          <w:szCs w:val="24"/>
          <w:lang w:eastAsia="en-US"/>
        </w:rPr>
        <w:t xml:space="preserve"> </w:t>
      </w:r>
      <w:r w:rsidR="003E0364">
        <w:rPr>
          <w:rFonts w:ascii="Calibri" w:eastAsia="Helvetica" w:hAnsi="Calibri" w:cs="Helvetica"/>
          <w:szCs w:val="24"/>
          <w:lang w:eastAsia="en-US"/>
        </w:rPr>
        <w:t>HSS</w:t>
      </w:r>
      <w:r w:rsidR="00D40F9A">
        <w:rPr>
          <w:rFonts w:ascii="Calibri" w:eastAsia="Helvetica" w:hAnsi="Calibri" w:cs="Helvetica"/>
          <w:szCs w:val="24"/>
          <w:lang w:eastAsia="en-US"/>
        </w:rPr>
        <w:t xml:space="preserve"> efforts</w:t>
      </w:r>
      <w:r w:rsidR="00987D11">
        <w:rPr>
          <w:rFonts w:ascii="Calibri" w:eastAsia="Helvetica" w:hAnsi="Calibri" w:cs="Helvetica"/>
          <w:szCs w:val="24"/>
          <w:lang w:eastAsia="en-US"/>
        </w:rPr>
        <w:t xml:space="preserve"> for UHC</w:t>
      </w:r>
      <w:r w:rsidR="004E1966">
        <w:rPr>
          <w:rFonts w:ascii="Calibri" w:eastAsia="Helvetica" w:hAnsi="Calibri" w:cs="Helvetica"/>
          <w:szCs w:val="24"/>
          <w:lang w:eastAsia="en-US"/>
        </w:rPr>
        <w:t xml:space="preserve"> at global level</w:t>
      </w:r>
      <w:r w:rsidR="005F1804" w:rsidRPr="003D7E56">
        <w:rPr>
          <w:rFonts w:ascii="Calibri" w:eastAsia="Helvetica" w:hAnsi="Calibri" w:cs="Helvetica"/>
          <w:szCs w:val="24"/>
          <w:lang w:eastAsia="en-US"/>
        </w:rPr>
        <w:t xml:space="preserve">, including </w:t>
      </w:r>
      <w:r w:rsidR="00993D01">
        <w:rPr>
          <w:rFonts w:ascii="Calibri" w:eastAsia="Helvetica" w:hAnsi="Calibri" w:cs="Helvetica"/>
          <w:szCs w:val="24"/>
          <w:lang w:eastAsia="en-US"/>
        </w:rPr>
        <w:t>synergies</w:t>
      </w:r>
      <w:r w:rsidR="005F1804" w:rsidRPr="003D7E56">
        <w:rPr>
          <w:rFonts w:ascii="Calibri" w:eastAsia="Helvetica" w:hAnsi="Calibri" w:cs="Helvetica"/>
          <w:szCs w:val="24"/>
          <w:lang w:eastAsia="en-US"/>
        </w:rPr>
        <w:t xml:space="preserve"> with related technical networks</w:t>
      </w:r>
      <w:r w:rsidR="000630E2">
        <w:rPr>
          <w:rFonts w:ascii="Calibri" w:eastAsia="Helvetica" w:hAnsi="Calibri" w:cs="Helvetica"/>
          <w:szCs w:val="24"/>
          <w:lang w:eastAsia="en-US"/>
        </w:rPr>
        <w:t xml:space="preserve"> </w:t>
      </w:r>
      <w:r w:rsidR="00443EAB">
        <w:rPr>
          <w:rStyle w:val="FootnoteReference"/>
          <w:rFonts w:ascii="Calibri" w:eastAsia="Helvetica" w:hAnsi="Calibri" w:cs="Helvetica"/>
          <w:szCs w:val="24"/>
          <w:lang w:eastAsia="en-US"/>
        </w:rPr>
        <w:footnoteReference w:id="8"/>
      </w:r>
      <w:r w:rsidR="005F1804" w:rsidRPr="003D7E56">
        <w:rPr>
          <w:rFonts w:ascii="Calibri" w:eastAsia="Helvetica" w:hAnsi="Calibri" w:cs="Helvetica"/>
          <w:szCs w:val="24"/>
          <w:lang w:eastAsia="en-US"/>
        </w:rPr>
        <w:t xml:space="preserve"> </w:t>
      </w:r>
    </w:p>
    <w:p w:rsidR="00A756EC" w:rsidRPr="00E27E17" w:rsidRDefault="00610739" w:rsidP="002D28DD">
      <w:pPr>
        <w:numPr>
          <w:ilvl w:val="0"/>
          <w:numId w:val="23"/>
        </w:numPr>
        <w:spacing w:after="0" w:line="240" w:lineRule="auto"/>
        <w:contextualSpacing/>
        <w:rPr>
          <w:rFonts w:ascii="Calibri" w:eastAsia="Helvetica" w:hAnsi="Calibri" w:cs="Helvetica"/>
          <w:szCs w:val="24"/>
          <w:lang w:eastAsia="en-US"/>
        </w:rPr>
      </w:pPr>
      <w:r>
        <w:rPr>
          <w:rFonts w:ascii="Calibri" w:eastAsia="Helvetica" w:hAnsi="Calibri" w:cs="Helvetica"/>
          <w:szCs w:val="24"/>
          <w:lang w:eastAsia="en-US"/>
        </w:rPr>
        <w:t>Strengthen</w:t>
      </w:r>
      <w:r w:rsidR="00A756EC" w:rsidRPr="00A756EC">
        <w:rPr>
          <w:rFonts w:ascii="Calibri" w:eastAsia="Helvetica" w:hAnsi="Calibri" w:cs="Helvetica"/>
          <w:szCs w:val="24"/>
          <w:lang w:eastAsia="en-US"/>
        </w:rPr>
        <w:t xml:space="preserve"> </w:t>
      </w:r>
      <w:r w:rsidR="00A756EC" w:rsidRPr="00E27E17">
        <w:rPr>
          <w:rFonts w:ascii="Calibri" w:eastAsia="Helvetica" w:hAnsi="Calibri" w:cs="Helvetica"/>
          <w:szCs w:val="24"/>
          <w:lang w:eastAsia="en-US"/>
        </w:rPr>
        <w:t>multi-stakeholder policy dialogue and coordination</w:t>
      </w:r>
      <w:r w:rsidR="00A756EC" w:rsidRPr="00E27E17">
        <w:rPr>
          <w:rFonts w:ascii="Calibri" w:eastAsia="MS Mincho" w:hAnsi="Calibri" w:cs="Helvetica" w:hint="eastAsia"/>
          <w:szCs w:val="24"/>
          <w:lang w:eastAsia="ja-JP"/>
        </w:rPr>
        <w:t xml:space="preserve"> </w:t>
      </w:r>
      <w:r w:rsidR="00A756EC" w:rsidRPr="00E27E17">
        <w:rPr>
          <w:rFonts w:ascii="Calibri" w:eastAsia="MS Mincho" w:hAnsi="Calibri" w:cs="Helvetica"/>
          <w:szCs w:val="24"/>
          <w:lang w:val="en-US" w:eastAsia="ja-JP"/>
        </w:rPr>
        <w:t xml:space="preserve">of HSS </w:t>
      </w:r>
      <w:r w:rsidR="004A3DB1">
        <w:rPr>
          <w:rFonts w:ascii="Calibri" w:eastAsia="MS Mincho" w:hAnsi="Calibri" w:cs="Helvetica"/>
          <w:szCs w:val="24"/>
          <w:lang w:val="en-US" w:eastAsia="ja-JP"/>
        </w:rPr>
        <w:t xml:space="preserve">efforts </w:t>
      </w:r>
      <w:r w:rsidR="00A756EC" w:rsidRPr="00E27E17">
        <w:rPr>
          <w:rFonts w:ascii="Calibri" w:eastAsia="MS Mincho" w:hAnsi="Calibri" w:cs="Helvetica"/>
          <w:szCs w:val="24"/>
          <w:lang w:val="en-US" w:eastAsia="ja-JP"/>
        </w:rPr>
        <w:t>in countries</w:t>
      </w:r>
      <w:r w:rsidR="00A756EC" w:rsidRPr="00A756EC">
        <w:rPr>
          <w:rFonts w:ascii="Calibri" w:eastAsia="MS Mincho" w:hAnsi="Calibri" w:cs="Helvetica"/>
          <w:szCs w:val="24"/>
          <w:lang w:val="en-US" w:eastAsia="ja-JP"/>
        </w:rPr>
        <w:t>,</w:t>
      </w:r>
      <w:r w:rsidR="00A756EC" w:rsidRPr="00E27E17">
        <w:rPr>
          <w:rFonts w:ascii="Calibri" w:eastAsia="MS Mincho" w:hAnsi="Calibri" w:cs="Helvetica" w:hint="eastAsia"/>
          <w:szCs w:val="24"/>
          <w:lang w:eastAsia="ja-JP"/>
        </w:rPr>
        <w:t xml:space="preserve"> </w:t>
      </w:r>
      <w:r w:rsidR="00A756EC" w:rsidRPr="00E27E17">
        <w:rPr>
          <w:rFonts w:ascii="Calibri" w:eastAsia="MS Mincho" w:hAnsi="Calibri" w:cs="Helvetica"/>
          <w:szCs w:val="24"/>
          <w:lang w:val="en-US" w:eastAsia="ja-JP"/>
        </w:rPr>
        <w:t>including</w:t>
      </w:r>
      <w:r w:rsidR="00A756EC" w:rsidRPr="00E27E17">
        <w:rPr>
          <w:rFonts w:ascii="Calibri" w:eastAsia="Helvetica" w:hAnsi="Calibri" w:cs="Helvetica"/>
          <w:szCs w:val="24"/>
          <w:lang w:eastAsia="en-US"/>
        </w:rPr>
        <w:t xml:space="preserve"> adherence to IHP+ principles and behaviours in countries receiving external assistance</w:t>
      </w:r>
    </w:p>
    <w:p w:rsidR="008B529B" w:rsidRDefault="00617948" w:rsidP="002D28DD">
      <w:pPr>
        <w:numPr>
          <w:ilvl w:val="0"/>
          <w:numId w:val="23"/>
        </w:numPr>
        <w:spacing w:after="0" w:line="240" w:lineRule="auto"/>
        <w:contextualSpacing/>
        <w:rPr>
          <w:rFonts w:ascii="Calibri" w:eastAsia="Helvetica" w:hAnsi="Calibri" w:cs="Helvetica"/>
          <w:szCs w:val="24"/>
          <w:lang w:eastAsia="en-US"/>
        </w:rPr>
      </w:pPr>
      <w:r>
        <w:rPr>
          <w:rFonts w:ascii="Calibri" w:eastAsia="Helvetica" w:hAnsi="Calibri" w:cs="Helvetica"/>
          <w:szCs w:val="24"/>
          <w:lang w:eastAsia="en-US"/>
        </w:rPr>
        <w:t xml:space="preserve">Facilitate </w:t>
      </w:r>
      <w:r w:rsidR="008B529B" w:rsidRPr="00617948">
        <w:rPr>
          <w:rFonts w:ascii="Calibri" w:eastAsia="Helvetica" w:hAnsi="Calibri" w:cs="Helvetica"/>
          <w:szCs w:val="24"/>
          <w:lang w:eastAsia="en-US"/>
        </w:rPr>
        <w:t>accountability</w:t>
      </w:r>
      <w:r w:rsidR="0061544E">
        <w:rPr>
          <w:rStyle w:val="FootnoteReference"/>
          <w:rFonts w:ascii="Calibri" w:eastAsia="Helvetica" w:hAnsi="Calibri" w:cs="Helvetica"/>
          <w:szCs w:val="24"/>
          <w:lang w:eastAsia="en-US"/>
        </w:rPr>
        <w:footnoteReference w:id="9"/>
      </w:r>
      <w:r w:rsidR="008B529B" w:rsidRPr="00617948">
        <w:rPr>
          <w:rFonts w:ascii="Calibri" w:eastAsia="Helvetica" w:hAnsi="Calibri" w:cs="Helvetica"/>
          <w:szCs w:val="24"/>
          <w:lang w:eastAsia="en-US"/>
        </w:rPr>
        <w:t xml:space="preserve"> </w:t>
      </w:r>
      <w:r w:rsidR="008B529B" w:rsidRPr="00131465">
        <w:rPr>
          <w:rFonts w:ascii="Calibri" w:eastAsia="Helvetica" w:hAnsi="Calibri" w:cs="Helvetica"/>
          <w:szCs w:val="24"/>
          <w:lang w:eastAsia="en-US"/>
        </w:rPr>
        <w:t xml:space="preserve">for progress towards </w:t>
      </w:r>
      <w:r w:rsidR="00D40F9A">
        <w:rPr>
          <w:rFonts w:ascii="Calibri" w:eastAsia="Helvetica" w:hAnsi="Calibri" w:cs="Helvetica"/>
          <w:szCs w:val="24"/>
          <w:lang w:eastAsia="en-US"/>
        </w:rPr>
        <w:t>HSS</w:t>
      </w:r>
      <w:r w:rsidR="0034679A">
        <w:rPr>
          <w:rFonts w:ascii="Calibri" w:eastAsia="Helvetica" w:hAnsi="Calibri" w:cs="Helvetica"/>
          <w:szCs w:val="24"/>
          <w:lang w:eastAsia="en-US"/>
        </w:rPr>
        <w:t xml:space="preserve"> and </w:t>
      </w:r>
      <w:r w:rsidR="008B529B" w:rsidRPr="00131465">
        <w:rPr>
          <w:rFonts w:ascii="Calibri" w:eastAsia="Helvetica" w:hAnsi="Calibri" w:cs="Helvetica"/>
          <w:szCs w:val="24"/>
          <w:lang w:eastAsia="en-US"/>
        </w:rPr>
        <w:t>UHC</w:t>
      </w:r>
      <w:r w:rsidR="008E0A44" w:rsidRPr="00131465">
        <w:rPr>
          <w:rFonts w:ascii="Calibri" w:eastAsia="Helvetica" w:hAnsi="Calibri" w:cs="Helvetica"/>
          <w:szCs w:val="24"/>
          <w:lang w:eastAsia="en-US"/>
        </w:rPr>
        <w:t xml:space="preserve"> </w:t>
      </w:r>
      <w:r w:rsidR="0034679A">
        <w:rPr>
          <w:rFonts w:ascii="Calibri" w:eastAsia="Helvetica" w:hAnsi="Calibri" w:cs="Helvetica"/>
          <w:szCs w:val="24"/>
          <w:lang w:eastAsia="en-US"/>
        </w:rPr>
        <w:t xml:space="preserve">that contributes to a more integrated approach to accountability for </w:t>
      </w:r>
      <w:r w:rsidR="008E0A44">
        <w:rPr>
          <w:rFonts w:ascii="Calibri" w:eastAsia="Helvetica" w:hAnsi="Calibri" w:cs="Helvetica"/>
          <w:szCs w:val="24"/>
          <w:lang w:eastAsia="en-US"/>
        </w:rPr>
        <w:t>SDG3</w:t>
      </w:r>
      <w:r w:rsidR="005F1804" w:rsidRPr="005F1804">
        <w:rPr>
          <w:rFonts w:ascii="Calibri" w:eastAsia="Helvetica" w:hAnsi="Calibri" w:cs="Helvetica"/>
          <w:szCs w:val="24"/>
          <w:lang w:eastAsia="en-US"/>
        </w:rPr>
        <w:t xml:space="preserve"> </w:t>
      </w:r>
    </w:p>
    <w:p w:rsidR="00A756EC" w:rsidRPr="00A756EC" w:rsidRDefault="00D17E1C" w:rsidP="002D28DD">
      <w:pPr>
        <w:numPr>
          <w:ilvl w:val="0"/>
          <w:numId w:val="23"/>
        </w:numPr>
        <w:spacing w:after="0" w:line="240" w:lineRule="auto"/>
        <w:contextualSpacing/>
        <w:rPr>
          <w:rFonts w:ascii="Calibri" w:eastAsia="Helvetica" w:hAnsi="Calibri" w:cs="Helvetica"/>
          <w:szCs w:val="24"/>
          <w:lang w:eastAsia="en-US"/>
        </w:rPr>
      </w:pPr>
      <w:r>
        <w:rPr>
          <w:rFonts w:ascii="Calibri" w:eastAsia="Helvetica" w:hAnsi="Calibri" w:cs="Helvetica"/>
          <w:szCs w:val="24"/>
          <w:lang w:eastAsia="en-US"/>
        </w:rPr>
        <w:t xml:space="preserve">Build </w:t>
      </w:r>
      <w:r w:rsidR="00A756EC">
        <w:rPr>
          <w:rFonts w:ascii="Calibri" w:eastAsia="Helvetica" w:hAnsi="Calibri" w:cs="Helvetica"/>
          <w:szCs w:val="24"/>
          <w:lang w:eastAsia="en-US"/>
        </w:rPr>
        <w:t>political momentum around a shared global vision of HSS for UHC and a</w:t>
      </w:r>
      <w:r w:rsidR="00A756EC" w:rsidRPr="008B529B">
        <w:rPr>
          <w:rFonts w:ascii="Calibri" w:eastAsia="Helvetica" w:hAnsi="Calibri" w:cs="Helvetica"/>
          <w:szCs w:val="24"/>
          <w:lang w:eastAsia="en-US"/>
        </w:rPr>
        <w:t>dvocate for sufficient, appropriate and well-coordinated resource allocation to HSS</w:t>
      </w:r>
    </w:p>
    <w:p w:rsidR="00B47B1F" w:rsidRDefault="00B47B1F" w:rsidP="00581C2E">
      <w:pPr>
        <w:spacing w:after="0" w:line="240" w:lineRule="auto"/>
        <w:contextualSpacing/>
        <w:rPr>
          <w:rFonts w:ascii="Calibri" w:eastAsia="Helvetica" w:hAnsi="Calibri" w:cs="Helvetica"/>
          <w:szCs w:val="24"/>
          <w:lang w:eastAsia="en-US"/>
        </w:rPr>
      </w:pPr>
    </w:p>
    <w:p w:rsidR="00470C87" w:rsidRDefault="00470C87" w:rsidP="00581C2E">
      <w:pPr>
        <w:spacing w:after="0" w:line="240" w:lineRule="auto"/>
        <w:rPr>
          <w:rFonts w:ascii="Calibri" w:eastAsia="Helvetica" w:hAnsi="Calibri" w:cs="Helvetica"/>
          <w:szCs w:val="24"/>
          <w:lang w:eastAsia="en-US"/>
        </w:rPr>
      </w:pPr>
      <w:r>
        <w:rPr>
          <w:rFonts w:ascii="Calibri" w:eastAsia="Helvetica" w:hAnsi="Calibri" w:cs="Helvetica"/>
          <w:szCs w:val="24"/>
          <w:lang w:eastAsia="en-US"/>
        </w:rPr>
        <w:t xml:space="preserve">To diminish the possibility of duplication in </w:t>
      </w:r>
      <w:r w:rsidR="00D40F9A">
        <w:rPr>
          <w:rFonts w:ascii="Calibri" w:eastAsia="Helvetica" w:hAnsi="Calibri" w:cs="Helvetica"/>
          <w:szCs w:val="24"/>
          <w:lang w:eastAsia="en-US"/>
        </w:rPr>
        <w:t xml:space="preserve">the </w:t>
      </w:r>
      <w:r>
        <w:rPr>
          <w:rFonts w:ascii="Calibri" w:eastAsia="Helvetica" w:hAnsi="Calibri" w:cs="Helvetica"/>
          <w:szCs w:val="24"/>
          <w:lang w:eastAsia="en-US"/>
        </w:rPr>
        <w:t xml:space="preserve">crowded field of partnerships in global health, it is important to clarify what the proposed </w:t>
      </w:r>
      <w:r w:rsidRPr="00E80CD3">
        <w:rPr>
          <w:rFonts w:ascii="Calibri" w:eastAsia="Helvetica" w:hAnsi="Calibri" w:cs="Helvetica"/>
          <w:szCs w:val="24"/>
          <w:lang w:val="en-US" w:eastAsia="en-US"/>
        </w:rPr>
        <w:t xml:space="preserve">UHC </w:t>
      </w:r>
      <w:r w:rsidR="0001682F">
        <w:rPr>
          <w:rFonts w:ascii="Calibri" w:eastAsia="Helvetica" w:hAnsi="Calibri" w:cs="Helvetica"/>
          <w:szCs w:val="24"/>
          <w:lang w:val="en-US" w:eastAsia="en-US"/>
        </w:rPr>
        <w:t xml:space="preserve">2030 </w:t>
      </w:r>
      <w:r>
        <w:rPr>
          <w:rFonts w:ascii="Calibri" w:eastAsia="Helvetica" w:hAnsi="Calibri" w:cs="Helvetica"/>
          <w:szCs w:val="24"/>
          <w:lang w:val="en-US" w:eastAsia="en-US"/>
        </w:rPr>
        <w:t xml:space="preserve">is </w:t>
      </w:r>
      <w:r w:rsidRPr="002D28DD">
        <w:rPr>
          <w:rFonts w:ascii="Calibri" w:eastAsia="Helvetica" w:hAnsi="Calibri" w:cs="Helvetica"/>
          <w:i/>
          <w:szCs w:val="24"/>
          <w:lang w:val="en-US" w:eastAsia="en-US"/>
        </w:rPr>
        <w:t>not</w:t>
      </w:r>
      <w:r>
        <w:rPr>
          <w:rFonts w:ascii="Calibri" w:eastAsia="Helvetica" w:hAnsi="Calibri" w:cs="Helvetica"/>
          <w:szCs w:val="24"/>
          <w:lang w:val="en-US" w:eastAsia="en-US"/>
        </w:rPr>
        <w:t xml:space="preserve"> aiming to do. </w:t>
      </w:r>
      <w:r w:rsidR="00EB24AB">
        <w:rPr>
          <w:rFonts w:ascii="Calibri" w:eastAsia="Helvetica" w:hAnsi="Calibri" w:cs="Helvetica"/>
          <w:szCs w:val="24"/>
          <w:lang w:val="en-US" w:eastAsia="en-US"/>
        </w:rPr>
        <w:t>UHC</w:t>
      </w:r>
      <w:r w:rsidR="0001682F">
        <w:rPr>
          <w:rFonts w:ascii="Calibri" w:eastAsia="Helvetica" w:hAnsi="Calibri" w:cs="Helvetica"/>
          <w:szCs w:val="24"/>
          <w:lang w:val="en-US" w:eastAsia="en-US"/>
        </w:rPr>
        <w:t xml:space="preserve"> 2030 </w:t>
      </w:r>
      <w:r w:rsidRPr="00E80CD3">
        <w:rPr>
          <w:rFonts w:ascii="Calibri" w:eastAsia="Helvetica" w:hAnsi="Calibri" w:cs="Helvetica"/>
          <w:szCs w:val="24"/>
          <w:lang w:val="en-US" w:eastAsia="en-US"/>
        </w:rPr>
        <w:t xml:space="preserve">shall not </w:t>
      </w:r>
      <w:r>
        <w:rPr>
          <w:rFonts w:ascii="Calibri" w:eastAsia="Helvetica" w:hAnsi="Calibri" w:cs="Helvetica"/>
          <w:szCs w:val="24"/>
          <w:lang w:val="en-US" w:eastAsia="en-US"/>
        </w:rPr>
        <w:t>duplicate the</w:t>
      </w:r>
      <w:r w:rsidRPr="00E80CD3">
        <w:rPr>
          <w:rFonts w:ascii="Calibri" w:eastAsia="Helvetica" w:hAnsi="Calibri" w:cs="Helvetica"/>
          <w:szCs w:val="24"/>
          <w:lang w:val="en-US" w:eastAsia="en-US"/>
        </w:rPr>
        <w:t xml:space="preserve"> functions that its member institutions </w:t>
      </w:r>
      <w:r>
        <w:rPr>
          <w:rFonts w:ascii="Calibri" w:eastAsia="Helvetica" w:hAnsi="Calibri" w:cs="Helvetica"/>
          <w:szCs w:val="24"/>
          <w:lang w:val="en-US" w:eastAsia="en-US"/>
        </w:rPr>
        <w:t xml:space="preserve">or countries </w:t>
      </w:r>
      <w:r w:rsidRPr="00E80CD3">
        <w:rPr>
          <w:rFonts w:ascii="Calibri" w:eastAsia="Helvetica" w:hAnsi="Calibri" w:cs="Helvetica"/>
          <w:szCs w:val="24"/>
          <w:lang w:val="en-US" w:eastAsia="en-US"/>
        </w:rPr>
        <w:t>can per</w:t>
      </w:r>
      <w:r>
        <w:rPr>
          <w:rFonts w:ascii="Calibri" w:eastAsia="Helvetica" w:hAnsi="Calibri" w:cs="Helvetica"/>
          <w:szCs w:val="24"/>
          <w:lang w:val="en-US" w:eastAsia="en-US"/>
        </w:rPr>
        <w:t>form through current mechanisms,</w:t>
      </w:r>
      <w:r w:rsidRPr="00E80CD3">
        <w:rPr>
          <w:rFonts w:ascii="Calibri" w:eastAsia="Helvetica" w:hAnsi="Calibri" w:cs="Helvetica"/>
          <w:szCs w:val="24"/>
          <w:lang w:val="en-US" w:eastAsia="en-US"/>
        </w:rPr>
        <w:t xml:space="preserve"> </w:t>
      </w:r>
      <w:r w:rsidR="00DE75B3">
        <w:rPr>
          <w:rFonts w:ascii="Calibri" w:eastAsia="Helvetica" w:hAnsi="Calibri" w:cs="Helvetica"/>
          <w:szCs w:val="24"/>
          <w:lang w:val="en-US" w:eastAsia="en-US"/>
        </w:rPr>
        <w:t xml:space="preserve">it will not </w:t>
      </w:r>
      <w:r w:rsidRPr="00E80CD3">
        <w:rPr>
          <w:rFonts w:ascii="Calibri" w:eastAsia="Helvetica" w:hAnsi="Calibri" w:cs="Helvetica"/>
          <w:szCs w:val="24"/>
          <w:lang w:val="en-US" w:eastAsia="en-US"/>
        </w:rPr>
        <w:t>assume the functions of a fundraising</w:t>
      </w:r>
      <w:r>
        <w:rPr>
          <w:rFonts w:ascii="Calibri" w:eastAsia="Helvetica" w:hAnsi="Calibri" w:cs="Helvetica"/>
          <w:szCs w:val="24"/>
          <w:lang w:val="en-US" w:eastAsia="en-US"/>
        </w:rPr>
        <w:t xml:space="preserve"> </w:t>
      </w:r>
      <w:r w:rsidRPr="00E80CD3">
        <w:rPr>
          <w:rFonts w:ascii="Calibri" w:eastAsia="Helvetica" w:hAnsi="Calibri" w:cs="Helvetica"/>
          <w:szCs w:val="24"/>
          <w:lang w:val="en-US" w:eastAsia="en-US"/>
        </w:rPr>
        <w:t>or a financing entity</w:t>
      </w:r>
      <w:r>
        <w:rPr>
          <w:rFonts w:ascii="Calibri" w:eastAsia="Helvetica" w:hAnsi="Calibri" w:cs="Helvetica"/>
          <w:szCs w:val="24"/>
          <w:lang w:val="en-US" w:eastAsia="en-US"/>
        </w:rPr>
        <w:t xml:space="preserve"> for health systems strengthening,</w:t>
      </w:r>
      <w:r w:rsidRPr="00E80CD3">
        <w:rPr>
          <w:rFonts w:ascii="Calibri" w:eastAsia="Helvetica" w:hAnsi="Calibri" w:cs="Helvetica"/>
          <w:szCs w:val="24"/>
          <w:lang w:val="en-US" w:eastAsia="en-US"/>
        </w:rPr>
        <w:t xml:space="preserve"> no</w:t>
      </w:r>
      <w:r>
        <w:rPr>
          <w:rFonts w:ascii="Calibri" w:eastAsia="Helvetica" w:hAnsi="Calibri" w:cs="Helvetica"/>
          <w:szCs w:val="24"/>
          <w:lang w:val="en-US" w:eastAsia="en-US"/>
        </w:rPr>
        <w:t>r</w:t>
      </w:r>
      <w:r w:rsidRPr="00E80CD3">
        <w:rPr>
          <w:rFonts w:ascii="Calibri" w:eastAsia="Helvetica" w:hAnsi="Calibri" w:cs="Helvetica"/>
          <w:szCs w:val="24"/>
          <w:lang w:val="en-US" w:eastAsia="en-US"/>
        </w:rPr>
        <w:t xml:space="preserve"> </w:t>
      </w:r>
      <w:r w:rsidR="00D90021">
        <w:rPr>
          <w:rFonts w:ascii="Calibri" w:eastAsia="Helvetica" w:hAnsi="Calibri" w:cs="Helvetica"/>
          <w:szCs w:val="24"/>
          <w:lang w:val="en-US" w:eastAsia="en-US"/>
        </w:rPr>
        <w:t xml:space="preserve">will it </w:t>
      </w:r>
      <w:r w:rsidRPr="00E80CD3">
        <w:rPr>
          <w:rFonts w:ascii="Calibri" w:eastAsia="Helvetica" w:hAnsi="Calibri" w:cs="Helvetica"/>
          <w:szCs w:val="24"/>
          <w:lang w:val="en-US" w:eastAsia="en-US"/>
        </w:rPr>
        <w:t>assume the functions of an implementing entity or a technical assistance agency.</w:t>
      </w:r>
      <w:r>
        <w:rPr>
          <w:rFonts w:ascii="Calibri" w:eastAsia="Helvetica" w:hAnsi="Calibri" w:cs="Helvetica"/>
          <w:szCs w:val="24"/>
          <w:lang w:val="en-US" w:eastAsia="en-US"/>
        </w:rPr>
        <w:t xml:space="preserve"> </w:t>
      </w:r>
      <w:r w:rsidR="006A5A66">
        <w:rPr>
          <w:rFonts w:ascii="Calibri" w:eastAsia="Helvetica" w:hAnsi="Calibri" w:cs="Helvetica"/>
          <w:szCs w:val="24"/>
          <w:lang w:eastAsia="en-US"/>
        </w:rPr>
        <w:t>Furthermore, continuing to promote adherence to the IHP+ principles, including the Seven Behaviours, remains important to improve the efficiency, coordination and alignment of health systems support in countries receiving external assistance.</w:t>
      </w:r>
    </w:p>
    <w:p w:rsidR="00581C2E" w:rsidRPr="008B529B" w:rsidRDefault="00581C2E" w:rsidP="00581C2E">
      <w:pPr>
        <w:spacing w:after="0" w:line="240" w:lineRule="auto"/>
        <w:rPr>
          <w:rFonts w:ascii="Calibri" w:eastAsia="Helvetica" w:hAnsi="Calibri" w:cs="Helvetica"/>
          <w:szCs w:val="24"/>
          <w:lang w:eastAsia="en-US"/>
        </w:rPr>
      </w:pPr>
    </w:p>
    <w:p w:rsidR="00D40F9A" w:rsidRDefault="008B529B" w:rsidP="002D28DD">
      <w:pPr>
        <w:keepNext/>
        <w:keepLines/>
        <w:spacing w:before="120" w:after="240" w:line="240" w:lineRule="auto"/>
        <w:outlineLvl w:val="0"/>
        <w:rPr>
          <w:rFonts w:ascii="Calibri" w:eastAsia="Helvetica" w:hAnsi="Calibri" w:cs="Helvetica"/>
          <w:szCs w:val="24"/>
          <w:lang w:eastAsia="en-US"/>
        </w:rPr>
      </w:pPr>
      <w:bookmarkStart w:id="3" w:name="_Toc441446784"/>
      <w:r w:rsidRPr="008B529B">
        <w:rPr>
          <w:rFonts w:ascii="Cambria" w:eastAsia="Helvetica" w:hAnsi="Cambria" w:cs="Helvetica"/>
          <w:b/>
          <w:bCs/>
          <w:color w:val="499BC9"/>
          <w:sz w:val="26"/>
          <w:szCs w:val="32"/>
          <w:lang w:eastAsia="en-US"/>
        </w:rPr>
        <w:t xml:space="preserve">UHC 2030 </w:t>
      </w:r>
      <w:bookmarkEnd w:id="3"/>
      <w:r w:rsidR="001F751C">
        <w:rPr>
          <w:rFonts w:ascii="Cambria" w:eastAsia="Helvetica" w:hAnsi="Cambria" w:cs="Helvetica"/>
          <w:b/>
          <w:bCs/>
          <w:color w:val="499BC9"/>
          <w:sz w:val="26"/>
          <w:szCs w:val="32"/>
          <w:lang w:eastAsia="en-US"/>
        </w:rPr>
        <w:t>Functions</w:t>
      </w:r>
    </w:p>
    <w:p w:rsidR="00E52C84" w:rsidRDefault="00D40F9A" w:rsidP="00E52C84">
      <w:pPr>
        <w:spacing w:after="0" w:line="240" w:lineRule="auto"/>
        <w:rPr>
          <w:rFonts w:ascii="Calibri" w:eastAsia="Helvetica" w:hAnsi="Calibri" w:cs="Helvetica"/>
          <w:szCs w:val="24"/>
          <w:lang w:eastAsia="en-US"/>
        </w:rPr>
      </w:pPr>
      <w:r w:rsidRPr="00EB24AB">
        <w:rPr>
          <w:rFonts w:ascii="Calibri" w:eastAsia="Helvetica" w:hAnsi="Calibri" w:cs="Helvetica"/>
          <w:szCs w:val="24"/>
          <w:lang w:eastAsia="en-US"/>
        </w:rPr>
        <w:t xml:space="preserve">UHC 2030 </w:t>
      </w:r>
      <w:r w:rsidR="00B40638">
        <w:rPr>
          <w:rFonts w:ascii="Calibri" w:eastAsia="Helvetica" w:hAnsi="Calibri" w:cs="Helvetica"/>
          <w:szCs w:val="24"/>
          <w:lang w:eastAsia="en-US"/>
        </w:rPr>
        <w:t>will be a</w:t>
      </w:r>
      <w:r w:rsidRPr="00EB24AB">
        <w:rPr>
          <w:rFonts w:ascii="Calibri" w:eastAsia="Helvetica" w:hAnsi="Calibri" w:cs="Helvetica"/>
          <w:szCs w:val="24"/>
          <w:lang w:eastAsia="en-US"/>
        </w:rPr>
        <w:t xml:space="preserve"> </w:t>
      </w:r>
      <w:r w:rsidR="00B40638" w:rsidRPr="00EB24AB">
        <w:rPr>
          <w:rFonts w:ascii="Calibri" w:eastAsia="Helvetica" w:hAnsi="Calibri" w:cs="Helvetica"/>
          <w:szCs w:val="24"/>
          <w:lang w:eastAsia="en-US"/>
        </w:rPr>
        <w:t>multi</w:t>
      </w:r>
      <w:r w:rsidR="00B40638">
        <w:rPr>
          <w:rFonts w:ascii="Calibri" w:eastAsia="Helvetica" w:hAnsi="Calibri" w:cs="Helvetica"/>
          <w:szCs w:val="24"/>
          <w:lang w:eastAsia="en-US"/>
        </w:rPr>
        <w:t>-</w:t>
      </w:r>
      <w:r w:rsidR="00B40638" w:rsidRPr="00EB24AB">
        <w:rPr>
          <w:rFonts w:ascii="Calibri" w:eastAsia="Helvetica" w:hAnsi="Calibri" w:cs="Helvetica"/>
          <w:szCs w:val="24"/>
          <w:lang w:eastAsia="en-US"/>
        </w:rPr>
        <w:t xml:space="preserve">stakeholder </w:t>
      </w:r>
      <w:r w:rsidRPr="002D28DD">
        <w:rPr>
          <w:rFonts w:ascii="Calibri" w:eastAsia="Helvetica" w:hAnsi="Calibri" w:cs="Helvetica"/>
          <w:b/>
          <w:szCs w:val="24"/>
          <w:lang w:eastAsia="en-US"/>
        </w:rPr>
        <w:t>platform</w:t>
      </w:r>
      <w:r w:rsidRPr="00EB24AB">
        <w:rPr>
          <w:rFonts w:ascii="Calibri" w:eastAsia="Helvetica" w:hAnsi="Calibri" w:cs="Helvetica"/>
          <w:szCs w:val="24"/>
          <w:lang w:eastAsia="en-US"/>
        </w:rPr>
        <w:t xml:space="preserve"> </w:t>
      </w:r>
      <w:r w:rsidR="00B40638">
        <w:rPr>
          <w:rFonts w:ascii="Calibri" w:eastAsia="Helvetica" w:hAnsi="Calibri" w:cs="Helvetica"/>
          <w:szCs w:val="24"/>
          <w:lang w:eastAsia="en-US"/>
        </w:rPr>
        <w:t>that</w:t>
      </w:r>
      <w:r w:rsidR="00637EC2">
        <w:rPr>
          <w:rFonts w:ascii="Calibri" w:eastAsia="Helvetica" w:hAnsi="Calibri" w:cs="Helvetica"/>
          <w:szCs w:val="24"/>
          <w:lang w:eastAsia="en-US"/>
        </w:rPr>
        <w:t xml:space="preserve"> will</w:t>
      </w:r>
      <w:r w:rsidR="00B40638">
        <w:rPr>
          <w:rFonts w:ascii="Calibri" w:eastAsia="Helvetica" w:hAnsi="Calibri" w:cs="Helvetica"/>
          <w:szCs w:val="24"/>
          <w:lang w:eastAsia="en-US"/>
        </w:rPr>
        <w:t xml:space="preserve"> </w:t>
      </w:r>
      <w:r w:rsidR="00637EC2">
        <w:rPr>
          <w:rFonts w:ascii="Calibri" w:eastAsia="Helvetica" w:hAnsi="Calibri" w:cs="Helvetica"/>
          <w:szCs w:val="24"/>
          <w:lang w:eastAsia="en-US"/>
        </w:rPr>
        <w:t xml:space="preserve">facilitate implementation of the above objectives. </w:t>
      </w:r>
      <w:r w:rsidR="00637EC2" w:rsidRPr="00EB24AB">
        <w:rPr>
          <w:rFonts w:ascii="Calibri" w:eastAsia="Helvetica" w:hAnsi="Calibri" w:cs="Helvetica"/>
          <w:szCs w:val="24"/>
          <w:lang w:eastAsia="en-US"/>
        </w:rPr>
        <w:t xml:space="preserve">It will be the place where a shared global vision for health systems </w:t>
      </w:r>
      <w:r w:rsidR="00546C39">
        <w:rPr>
          <w:rFonts w:ascii="Calibri" w:eastAsia="Helvetica" w:hAnsi="Calibri" w:cs="Helvetica"/>
          <w:szCs w:val="24"/>
          <w:lang w:eastAsia="en-US"/>
        </w:rPr>
        <w:t>and UHC</w:t>
      </w:r>
      <w:r w:rsidR="00637EC2" w:rsidRPr="00EB24AB">
        <w:rPr>
          <w:rFonts w:ascii="Calibri" w:eastAsia="Helvetica" w:hAnsi="Calibri" w:cs="Helvetica"/>
          <w:szCs w:val="24"/>
          <w:lang w:eastAsia="en-US"/>
        </w:rPr>
        <w:t xml:space="preserve"> is nurtured, </w:t>
      </w:r>
      <w:r w:rsidR="00546C39">
        <w:rPr>
          <w:rFonts w:ascii="Calibri" w:eastAsia="Helvetica" w:hAnsi="Calibri" w:cs="Helvetica"/>
          <w:szCs w:val="24"/>
          <w:lang w:eastAsia="en-US"/>
        </w:rPr>
        <w:t xml:space="preserve">emerging priorities are framed, </w:t>
      </w:r>
      <w:r w:rsidR="00637EC2">
        <w:rPr>
          <w:rFonts w:ascii="Calibri" w:eastAsia="Helvetica" w:hAnsi="Calibri" w:cs="Helvetica"/>
          <w:szCs w:val="24"/>
          <w:lang w:eastAsia="en-US"/>
        </w:rPr>
        <w:t xml:space="preserve">bottlenecks identified and </w:t>
      </w:r>
      <w:r w:rsidR="00637EC2" w:rsidRPr="00EB24AB">
        <w:rPr>
          <w:rFonts w:ascii="Calibri" w:eastAsia="Helvetica" w:hAnsi="Calibri" w:cs="Helvetica"/>
          <w:szCs w:val="24"/>
          <w:lang w:eastAsia="en-US"/>
        </w:rPr>
        <w:t xml:space="preserve">recommendations </w:t>
      </w:r>
      <w:r w:rsidR="00271D8D">
        <w:rPr>
          <w:rFonts w:ascii="Calibri" w:eastAsia="Helvetica" w:hAnsi="Calibri" w:cs="Helvetica"/>
          <w:szCs w:val="24"/>
          <w:lang w:eastAsia="en-US"/>
        </w:rPr>
        <w:t xml:space="preserve">collectively </w:t>
      </w:r>
      <w:r w:rsidR="00637EC2" w:rsidRPr="00EB24AB">
        <w:rPr>
          <w:rFonts w:ascii="Calibri" w:eastAsia="Helvetica" w:hAnsi="Calibri" w:cs="Helvetica"/>
          <w:szCs w:val="24"/>
          <w:lang w:eastAsia="en-US"/>
        </w:rPr>
        <w:t xml:space="preserve">proposed to </w:t>
      </w:r>
      <w:r w:rsidR="00546C39">
        <w:rPr>
          <w:rFonts w:ascii="Calibri" w:eastAsia="Helvetica" w:hAnsi="Calibri" w:cs="Helvetica"/>
          <w:szCs w:val="24"/>
          <w:lang w:eastAsia="en-US"/>
        </w:rPr>
        <w:t>accelerate progress towards UHC.</w:t>
      </w:r>
      <w:r w:rsidR="00637EC2">
        <w:rPr>
          <w:rFonts w:ascii="Calibri" w:eastAsia="Helvetica" w:hAnsi="Calibri" w:cs="Helvetica"/>
          <w:szCs w:val="24"/>
          <w:lang w:eastAsia="en-US"/>
        </w:rPr>
        <w:t xml:space="preserve"> </w:t>
      </w:r>
      <w:r w:rsidR="00E52C84">
        <w:rPr>
          <w:rFonts w:ascii="Calibri" w:eastAsia="Helvetica" w:hAnsi="Calibri" w:cs="Helvetica"/>
          <w:szCs w:val="24"/>
          <w:lang w:eastAsia="en-US"/>
        </w:rPr>
        <w:t>It will mobilise existing partnerships, alliances and networks</w:t>
      </w:r>
      <w:r w:rsidR="0085544A">
        <w:rPr>
          <w:rFonts w:ascii="Calibri" w:eastAsia="Helvetica" w:hAnsi="Calibri" w:cs="Helvetica"/>
          <w:szCs w:val="24"/>
          <w:lang w:eastAsia="en-US"/>
        </w:rPr>
        <w:t xml:space="preserve"> </w:t>
      </w:r>
      <w:r w:rsidR="00894B48">
        <w:rPr>
          <w:rFonts w:ascii="Calibri" w:eastAsia="Helvetica" w:hAnsi="Calibri" w:cs="Helvetica"/>
          <w:szCs w:val="24"/>
          <w:lang w:eastAsia="en-US"/>
        </w:rPr>
        <w:t>(See</w:t>
      </w:r>
      <w:r w:rsidR="0085544A">
        <w:rPr>
          <w:rFonts w:ascii="Calibri" w:eastAsia="Helvetica" w:hAnsi="Calibri" w:cs="Helvetica"/>
          <w:szCs w:val="24"/>
          <w:lang w:eastAsia="en-US"/>
        </w:rPr>
        <w:t xml:space="preserve"> Annex</w:t>
      </w:r>
      <w:r w:rsidR="00B773C1">
        <w:rPr>
          <w:rFonts w:ascii="Calibri" w:eastAsia="Helvetica" w:hAnsi="Calibri" w:cs="Helvetica"/>
          <w:szCs w:val="24"/>
          <w:lang w:eastAsia="en-US"/>
        </w:rPr>
        <w:t xml:space="preserve"> 2</w:t>
      </w:r>
      <w:r w:rsidR="0085544A">
        <w:rPr>
          <w:rFonts w:ascii="Calibri" w:eastAsia="Helvetica" w:hAnsi="Calibri" w:cs="Helvetica"/>
          <w:szCs w:val="24"/>
          <w:lang w:eastAsia="en-US"/>
        </w:rPr>
        <w:t>)</w:t>
      </w:r>
      <w:r w:rsidR="00E52C84">
        <w:rPr>
          <w:rFonts w:ascii="Calibri" w:eastAsia="Helvetica" w:hAnsi="Calibri" w:cs="Helvetica"/>
          <w:szCs w:val="24"/>
          <w:lang w:eastAsia="en-US"/>
        </w:rPr>
        <w:t xml:space="preserve"> </w:t>
      </w:r>
      <w:r w:rsidR="00E52C84" w:rsidRPr="00EB24AB">
        <w:rPr>
          <w:rFonts w:ascii="Calibri" w:eastAsia="Helvetica" w:hAnsi="Calibri" w:cs="Helvetica"/>
          <w:szCs w:val="24"/>
          <w:lang w:eastAsia="en-US"/>
        </w:rPr>
        <w:t>that are focused on strengthening specific areas of health systems</w:t>
      </w:r>
      <w:r w:rsidR="00E52C84">
        <w:rPr>
          <w:rFonts w:ascii="Calibri" w:eastAsia="Helvetica" w:hAnsi="Calibri" w:cs="Helvetica"/>
          <w:szCs w:val="24"/>
          <w:lang w:eastAsia="en-US"/>
        </w:rPr>
        <w:t xml:space="preserve">, diseases or populations groups, and </w:t>
      </w:r>
      <w:r w:rsidR="00E52C84" w:rsidRPr="00EB24AB">
        <w:rPr>
          <w:rFonts w:ascii="Calibri" w:eastAsia="Helvetica" w:hAnsi="Calibri" w:cs="Helvetica"/>
          <w:szCs w:val="24"/>
          <w:lang w:eastAsia="en-US"/>
        </w:rPr>
        <w:t>broker greater alignment and coordination on common health systems issues</w:t>
      </w:r>
      <w:r w:rsidR="007160E8">
        <w:rPr>
          <w:rFonts w:ascii="Calibri" w:eastAsia="Helvetica" w:hAnsi="Calibri" w:cs="Helvetica"/>
          <w:szCs w:val="24"/>
          <w:lang w:eastAsia="en-US"/>
        </w:rPr>
        <w:t>.</w:t>
      </w:r>
    </w:p>
    <w:p w:rsidR="00F57B10" w:rsidRDefault="00F57B10" w:rsidP="00E52C84">
      <w:pPr>
        <w:spacing w:after="0" w:line="240" w:lineRule="auto"/>
        <w:rPr>
          <w:rFonts w:ascii="Calibri" w:eastAsia="Helvetica" w:hAnsi="Calibri" w:cs="Helvetica"/>
          <w:szCs w:val="24"/>
          <w:lang w:eastAsia="en-US"/>
        </w:rPr>
      </w:pPr>
    </w:p>
    <w:p w:rsidR="001F751C" w:rsidRDefault="00C44471" w:rsidP="00EB24AB">
      <w:pPr>
        <w:spacing w:after="0" w:line="240" w:lineRule="auto"/>
        <w:rPr>
          <w:rFonts w:ascii="Calibri" w:eastAsia="Helvetica" w:hAnsi="Calibri" w:cs="Helvetica"/>
          <w:szCs w:val="24"/>
          <w:lang w:eastAsia="en-US"/>
        </w:rPr>
      </w:pPr>
      <w:r>
        <w:rPr>
          <w:rFonts w:ascii="Calibri" w:eastAsia="Helvetica" w:hAnsi="Calibri" w:cs="Helvetica"/>
          <w:szCs w:val="24"/>
          <w:lang w:eastAsia="en-US"/>
        </w:rPr>
        <w:t>This section outlines proposed functions for UHC 2030</w:t>
      </w:r>
      <w:r w:rsidR="007160E8">
        <w:rPr>
          <w:rStyle w:val="FootnoteReference"/>
          <w:rFonts w:ascii="Calibri" w:eastAsia="Helvetica" w:hAnsi="Calibri" w:cs="Helvetica"/>
          <w:szCs w:val="24"/>
          <w:lang w:eastAsia="en-US"/>
        </w:rPr>
        <w:footnoteReference w:id="10"/>
      </w:r>
      <w:r w:rsidR="007160E8">
        <w:rPr>
          <w:rFonts w:ascii="Calibri" w:eastAsia="Helvetica" w:hAnsi="Calibri" w:cs="Helvetica"/>
          <w:szCs w:val="24"/>
          <w:lang w:eastAsia="en-US"/>
        </w:rPr>
        <w:t>:</w:t>
      </w:r>
    </w:p>
    <w:p w:rsidR="00EB24AB" w:rsidRPr="00EB24AB" w:rsidRDefault="00EB24AB" w:rsidP="00EB24AB">
      <w:pPr>
        <w:spacing w:after="0" w:line="240" w:lineRule="auto"/>
        <w:rPr>
          <w:rFonts w:ascii="Calibri" w:eastAsia="Helvetica" w:hAnsi="Calibri" w:cs="Helvetica"/>
          <w:szCs w:val="24"/>
          <w:lang w:eastAsia="en-US"/>
        </w:rPr>
      </w:pPr>
    </w:p>
    <w:p w:rsidR="00C13442" w:rsidRPr="000630E2" w:rsidRDefault="00C13442" w:rsidP="000630E2">
      <w:pPr>
        <w:pStyle w:val="ListParagraph"/>
        <w:numPr>
          <w:ilvl w:val="0"/>
          <w:numId w:val="6"/>
        </w:numPr>
        <w:spacing w:after="120" w:line="240" w:lineRule="auto"/>
        <w:ind w:left="714" w:hanging="357"/>
        <w:rPr>
          <w:rFonts w:ascii="Calibri" w:eastAsia="Helvetica" w:hAnsi="Calibri" w:cs="Helvetica"/>
          <w:b/>
          <w:szCs w:val="24"/>
          <w:lang w:eastAsia="en-US"/>
        </w:rPr>
      </w:pPr>
      <w:r>
        <w:rPr>
          <w:rFonts w:ascii="Calibri" w:eastAsia="Helvetica" w:hAnsi="Calibri" w:cs="Helvetica"/>
          <w:b/>
          <w:szCs w:val="24"/>
          <w:lang w:eastAsia="en-US"/>
        </w:rPr>
        <w:t xml:space="preserve">Reinforcing and complementing </w:t>
      </w:r>
      <w:r w:rsidR="00381B6F">
        <w:rPr>
          <w:rFonts w:ascii="Calibri" w:eastAsia="Helvetica" w:hAnsi="Calibri" w:cs="Helvetica"/>
          <w:b/>
          <w:szCs w:val="24"/>
          <w:lang w:eastAsia="en-US"/>
        </w:rPr>
        <w:t xml:space="preserve">principles for coordination </w:t>
      </w:r>
    </w:p>
    <w:p w:rsidR="00EC770B" w:rsidRDefault="00EC770B" w:rsidP="000027D5">
      <w:pPr>
        <w:spacing w:line="240" w:lineRule="auto"/>
      </w:pPr>
      <w:r w:rsidRPr="008B487E">
        <w:t xml:space="preserve">Building on the IHP+ platform, UHC 2030 will review and reinforce the IHP+ principles, and explore complementary principles for more effective support to HSS towards UHC. This will draw on lessons from IHP+ on what has worked well and what has not, including how to better promote adherence.  These principles will be anchored in country ownership and </w:t>
      </w:r>
      <w:r w:rsidRPr="008B487E">
        <w:rPr>
          <w:rFonts w:ascii="Calibri" w:eastAsia="Helvetica" w:hAnsi="Calibri" w:cs="Helvetica"/>
          <w:lang w:eastAsia="en-US"/>
        </w:rPr>
        <w:t>will guide the actions of all partners towards more effective and aligned efforts towards UHC.</w:t>
      </w:r>
      <w:r w:rsidRPr="008B487E">
        <w:t xml:space="preserve"> </w:t>
      </w:r>
      <w:r w:rsidR="000027D5">
        <w:t xml:space="preserve"> They</w:t>
      </w:r>
      <w:r w:rsidRPr="008B487E">
        <w:t xml:space="preserve"> </w:t>
      </w:r>
      <w:r w:rsidR="000027D5" w:rsidRPr="008B487E">
        <w:t xml:space="preserve">will </w:t>
      </w:r>
      <w:r w:rsidR="000027D5">
        <w:t xml:space="preserve">also </w:t>
      </w:r>
      <w:r w:rsidR="000027D5" w:rsidRPr="008B487E">
        <w:t>serve as a reference for country-specific application</w:t>
      </w:r>
      <w:r w:rsidR="000027D5">
        <w:t>.</w:t>
      </w:r>
    </w:p>
    <w:p w:rsidR="00381B6F" w:rsidRPr="008B7740" w:rsidRDefault="00381B6F" w:rsidP="005D4B36">
      <w:pPr>
        <w:spacing w:after="0" w:line="240" w:lineRule="auto"/>
        <w:rPr>
          <w:rFonts w:ascii="Calibri" w:eastAsia="Helvetica" w:hAnsi="Calibri" w:cs="Helvetica"/>
          <w:b/>
          <w:szCs w:val="24"/>
          <w:lang w:eastAsia="en-US"/>
        </w:rPr>
      </w:pPr>
      <w:r>
        <w:rPr>
          <w:rFonts w:ascii="Calibri" w:eastAsia="Helvetica" w:hAnsi="Calibri" w:cs="Helvetica"/>
          <w:szCs w:val="24"/>
          <w:lang w:eastAsia="en-US"/>
        </w:rPr>
        <w:t xml:space="preserve">UHC 2030 will </w:t>
      </w:r>
      <w:r w:rsidR="00497D53">
        <w:rPr>
          <w:rFonts w:ascii="Calibri" w:eastAsia="Helvetica" w:hAnsi="Calibri" w:cs="Helvetica"/>
          <w:szCs w:val="24"/>
          <w:lang w:eastAsia="en-US"/>
        </w:rPr>
        <w:t xml:space="preserve">continue </w:t>
      </w:r>
      <w:r w:rsidR="00E92968">
        <w:rPr>
          <w:rFonts w:ascii="Calibri" w:eastAsia="Helvetica" w:hAnsi="Calibri" w:cs="Helvetica"/>
          <w:szCs w:val="24"/>
          <w:lang w:eastAsia="en-US"/>
        </w:rPr>
        <w:t xml:space="preserve">to </w:t>
      </w:r>
      <w:r>
        <w:rPr>
          <w:rFonts w:ascii="Calibri" w:eastAsia="Helvetica" w:hAnsi="Calibri" w:cs="Helvetica"/>
          <w:szCs w:val="24"/>
          <w:lang w:eastAsia="en-US"/>
        </w:rPr>
        <w:t>pay particular attention to country contexts where the alignment and coordination of global partners around country leadership is critical but not a given</w:t>
      </w:r>
      <w:r w:rsidR="002033C0">
        <w:rPr>
          <w:rFonts w:ascii="Calibri" w:eastAsia="Helvetica" w:hAnsi="Calibri" w:cs="Helvetica"/>
          <w:szCs w:val="24"/>
          <w:lang w:eastAsia="en-US"/>
        </w:rPr>
        <w:t>, particularly in post-conflict and fragile contexts</w:t>
      </w:r>
      <w:r>
        <w:rPr>
          <w:rFonts w:ascii="Calibri" w:eastAsia="Helvetica" w:hAnsi="Calibri" w:cs="Helvetica"/>
          <w:szCs w:val="24"/>
          <w:lang w:eastAsia="en-US"/>
        </w:rPr>
        <w:t>.</w:t>
      </w:r>
      <w:r w:rsidR="00EB24AB">
        <w:rPr>
          <w:rFonts w:ascii="Calibri" w:eastAsia="Helvetica" w:hAnsi="Calibri" w:cs="Helvetica"/>
          <w:szCs w:val="24"/>
          <w:lang w:eastAsia="en-US"/>
        </w:rPr>
        <w:t xml:space="preserve"> </w:t>
      </w:r>
      <w:r>
        <w:rPr>
          <w:rFonts w:ascii="Calibri" w:eastAsia="Helvetica" w:hAnsi="Calibri" w:cs="Helvetica"/>
          <w:szCs w:val="24"/>
          <w:lang w:eastAsia="en-US"/>
        </w:rPr>
        <w:t xml:space="preserve"> It will build on the experience of the country compacts</w:t>
      </w:r>
      <w:r w:rsidR="003C0DDA">
        <w:rPr>
          <w:rFonts w:ascii="Calibri" w:eastAsia="Helvetica" w:hAnsi="Calibri" w:cs="Helvetica"/>
          <w:szCs w:val="24"/>
          <w:lang w:eastAsia="en-US"/>
        </w:rPr>
        <w:t xml:space="preserve"> or partnership agreements</w:t>
      </w:r>
      <w:r>
        <w:rPr>
          <w:rFonts w:ascii="Calibri" w:eastAsia="Helvetica" w:hAnsi="Calibri" w:cs="Helvetica"/>
          <w:szCs w:val="24"/>
          <w:lang w:eastAsia="en-US"/>
        </w:rPr>
        <w:t xml:space="preserve"> </w:t>
      </w:r>
      <w:r w:rsidR="003C0DDA">
        <w:rPr>
          <w:rFonts w:ascii="Calibri" w:eastAsia="Helvetica" w:hAnsi="Calibri" w:cs="Helvetica"/>
          <w:szCs w:val="24"/>
          <w:lang w:eastAsia="en-US"/>
        </w:rPr>
        <w:t>that IHP+ signatories have in place</w:t>
      </w:r>
      <w:r w:rsidR="00271D8D">
        <w:rPr>
          <w:rFonts w:ascii="Calibri" w:eastAsia="Helvetica" w:hAnsi="Calibri" w:cs="Helvetica"/>
          <w:szCs w:val="24"/>
          <w:lang w:eastAsia="en-US"/>
        </w:rPr>
        <w:t>.</w:t>
      </w:r>
      <w:r w:rsidR="003C0DDA">
        <w:rPr>
          <w:rFonts w:ascii="Calibri" w:eastAsia="Helvetica" w:hAnsi="Calibri" w:cs="Helvetica"/>
          <w:szCs w:val="24"/>
          <w:lang w:eastAsia="en-US"/>
        </w:rPr>
        <w:t xml:space="preserve"> </w:t>
      </w:r>
    </w:p>
    <w:p w:rsidR="00381B6F" w:rsidRDefault="00381B6F" w:rsidP="00381B6F">
      <w:pPr>
        <w:spacing w:after="0" w:line="240" w:lineRule="auto"/>
        <w:rPr>
          <w:rFonts w:ascii="Calibri" w:eastAsia="Helvetica" w:hAnsi="Calibri" w:cs="Helvetica"/>
          <w:szCs w:val="24"/>
          <w:lang w:eastAsia="en-US"/>
        </w:rPr>
      </w:pPr>
    </w:p>
    <w:p w:rsidR="00381B6F" w:rsidRPr="008B7740" w:rsidRDefault="00B742EA" w:rsidP="00EB24AB">
      <w:pPr>
        <w:pStyle w:val="ListParagraph"/>
        <w:numPr>
          <w:ilvl w:val="0"/>
          <w:numId w:val="6"/>
        </w:numPr>
        <w:spacing w:after="120" w:line="240" w:lineRule="auto"/>
        <w:ind w:left="714" w:hanging="357"/>
        <w:rPr>
          <w:rFonts w:ascii="Calibri" w:eastAsia="Helvetica" w:hAnsi="Calibri" w:cs="Helvetica"/>
          <w:b/>
          <w:szCs w:val="24"/>
          <w:lang w:eastAsia="en-US"/>
        </w:rPr>
      </w:pPr>
      <w:r>
        <w:rPr>
          <w:rFonts w:ascii="Calibri" w:eastAsia="Helvetica" w:hAnsi="Calibri" w:cs="Helvetica"/>
          <w:b/>
          <w:szCs w:val="24"/>
          <w:lang w:eastAsia="en-US"/>
        </w:rPr>
        <w:t>Strengthening m</w:t>
      </w:r>
      <w:r w:rsidR="00300148">
        <w:rPr>
          <w:rFonts w:ascii="Calibri" w:eastAsia="Helvetica" w:hAnsi="Calibri" w:cs="Helvetica"/>
          <w:b/>
          <w:szCs w:val="24"/>
          <w:lang w:eastAsia="en-US"/>
        </w:rPr>
        <w:t>onitoring, review and</w:t>
      </w:r>
      <w:r w:rsidR="000C7B2E">
        <w:rPr>
          <w:rFonts w:ascii="Calibri" w:eastAsia="Helvetica" w:hAnsi="Calibri" w:cs="Helvetica"/>
          <w:b/>
          <w:szCs w:val="24"/>
          <w:lang w:eastAsia="en-US"/>
        </w:rPr>
        <w:t xml:space="preserve"> remedial</w:t>
      </w:r>
      <w:r w:rsidR="00300148">
        <w:rPr>
          <w:rFonts w:ascii="Calibri" w:eastAsia="Helvetica" w:hAnsi="Calibri" w:cs="Helvetica"/>
          <w:b/>
          <w:szCs w:val="24"/>
          <w:lang w:eastAsia="en-US"/>
        </w:rPr>
        <w:t xml:space="preserve"> action</w:t>
      </w:r>
    </w:p>
    <w:p w:rsidR="00EB45E4" w:rsidRDefault="00381B6F" w:rsidP="002033C0">
      <w:pPr>
        <w:spacing w:after="0" w:line="240" w:lineRule="auto"/>
        <w:rPr>
          <w:rFonts w:ascii="Calibri" w:eastAsia="Helvetica" w:hAnsi="Calibri" w:cs="Helvetica"/>
          <w:szCs w:val="24"/>
          <w:lang w:eastAsia="en-US"/>
        </w:rPr>
      </w:pPr>
      <w:r>
        <w:rPr>
          <w:rFonts w:ascii="Calibri" w:eastAsia="Helvetica" w:hAnsi="Calibri" w:cs="Helvetica"/>
          <w:szCs w:val="24"/>
          <w:lang w:eastAsia="en-US"/>
        </w:rPr>
        <w:t>UHC 2030 will</w:t>
      </w:r>
      <w:r w:rsidR="00D53005">
        <w:rPr>
          <w:rFonts w:ascii="Calibri" w:eastAsia="Helvetica" w:hAnsi="Calibri" w:cs="Helvetica"/>
          <w:szCs w:val="24"/>
          <w:lang w:eastAsia="en-US"/>
        </w:rPr>
        <w:t xml:space="preserve"> </w:t>
      </w:r>
      <w:r w:rsidR="00FD5E59">
        <w:rPr>
          <w:rFonts w:ascii="Calibri" w:eastAsia="Helvetica" w:hAnsi="Calibri" w:cs="Helvetica"/>
          <w:szCs w:val="24"/>
          <w:lang w:eastAsia="en-US"/>
        </w:rPr>
        <w:t xml:space="preserve">convene key stakeholders to </w:t>
      </w:r>
      <w:r w:rsidR="007F1F5E">
        <w:rPr>
          <w:rFonts w:ascii="Calibri" w:eastAsia="Helvetica" w:hAnsi="Calibri" w:cs="Helvetica"/>
          <w:szCs w:val="24"/>
          <w:lang w:eastAsia="en-US"/>
        </w:rPr>
        <w:t xml:space="preserve">take stock of </w:t>
      </w:r>
      <w:r w:rsidR="00FD5E59">
        <w:rPr>
          <w:rFonts w:ascii="Calibri" w:eastAsia="Helvetica" w:hAnsi="Calibri" w:cs="Helvetica"/>
          <w:szCs w:val="24"/>
          <w:lang w:eastAsia="en-US"/>
        </w:rPr>
        <w:t xml:space="preserve">progress on health systems and UHC. It will </w:t>
      </w:r>
      <w:r w:rsidR="002033C0">
        <w:rPr>
          <w:rFonts w:ascii="Calibri" w:eastAsia="Helvetica" w:hAnsi="Calibri" w:cs="Helvetica"/>
          <w:szCs w:val="24"/>
          <w:lang w:eastAsia="en-US"/>
        </w:rPr>
        <w:t xml:space="preserve">bring together </w:t>
      </w:r>
      <w:r w:rsidR="00D53005">
        <w:rPr>
          <w:rFonts w:ascii="Calibri" w:eastAsia="Helvetica" w:hAnsi="Calibri" w:cs="Helvetica"/>
          <w:szCs w:val="24"/>
          <w:lang w:eastAsia="en-US"/>
        </w:rPr>
        <w:t xml:space="preserve">existing </w:t>
      </w:r>
      <w:r w:rsidR="00D1445A">
        <w:rPr>
          <w:rFonts w:ascii="Calibri" w:eastAsia="Helvetica" w:hAnsi="Calibri" w:cs="Helvetica"/>
          <w:szCs w:val="24"/>
          <w:lang w:eastAsia="en-US"/>
        </w:rPr>
        <w:t xml:space="preserve">global </w:t>
      </w:r>
      <w:r w:rsidR="00D53005">
        <w:rPr>
          <w:rFonts w:ascii="Calibri" w:eastAsia="Helvetica" w:hAnsi="Calibri" w:cs="Helvetica"/>
          <w:szCs w:val="24"/>
          <w:lang w:eastAsia="en-US"/>
        </w:rPr>
        <w:t>monitoring efforts</w:t>
      </w:r>
      <w:r w:rsidR="008A054A">
        <w:rPr>
          <w:rStyle w:val="FootnoteReference"/>
          <w:rFonts w:ascii="Calibri" w:eastAsia="Helvetica" w:hAnsi="Calibri" w:cs="Helvetica"/>
          <w:szCs w:val="24"/>
          <w:lang w:eastAsia="en-US"/>
        </w:rPr>
        <w:footnoteReference w:id="11"/>
      </w:r>
      <w:r w:rsidR="00D53005">
        <w:rPr>
          <w:rFonts w:ascii="Calibri" w:eastAsia="Helvetica" w:hAnsi="Calibri" w:cs="Helvetica"/>
          <w:szCs w:val="24"/>
          <w:lang w:eastAsia="en-US"/>
        </w:rPr>
        <w:t xml:space="preserve"> to provide a narrative on </w:t>
      </w:r>
      <w:r w:rsidR="00BC6792">
        <w:rPr>
          <w:rFonts w:ascii="Calibri" w:eastAsia="Helvetica" w:hAnsi="Calibri" w:cs="Helvetica"/>
          <w:szCs w:val="24"/>
          <w:lang w:eastAsia="en-US"/>
        </w:rPr>
        <w:t>the rates and distribution</w:t>
      </w:r>
      <w:r w:rsidR="004D3E84">
        <w:rPr>
          <w:rFonts w:ascii="Calibri" w:eastAsia="Helvetica" w:hAnsi="Calibri" w:cs="Helvetica"/>
          <w:szCs w:val="24"/>
          <w:lang w:eastAsia="en-US"/>
        </w:rPr>
        <w:t xml:space="preserve"> of </w:t>
      </w:r>
      <w:r w:rsidR="00D53005">
        <w:rPr>
          <w:rFonts w:ascii="Calibri" w:eastAsia="Helvetica" w:hAnsi="Calibri" w:cs="Helvetica"/>
          <w:szCs w:val="24"/>
          <w:lang w:eastAsia="en-US"/>
        </w:rPr>
        <w:t xml:space="preserve">progress on </w:t>
      </w:r>
      <w:r w:rsidR="000C4DAA">
        <w:rPr>
          <w:rFonts w:ascii="Calibri" w:eastAsia="Helvetica" w:hAnsi="Calibri" w:cs="Helvetica"/>
          <w:szCs w:val="24"/>
          <w:lang w:eastAsia="en-US"/>
        </w:rPr>
        <w:t>HSS</w:t>
      </w:r>
      <w:r w:rsidR="00D53005">
        <w:rPr>
          <w:rFonts w:ascii="Calibri" w:eastAsia="Helvetica" w:hAnsi="Calibri" w:cs="Helvetica"/>
          <w:szCs w:val="24"/>
          <w:lang w:eastAsia="en-US"/>
        </w:rPr>
        <w:t xml:space="preserve"> and UHC</w:t>
      </w:r>
      <w:r w:rsidR="007D74D3">
        <w:rPr>
          <w:rFonts w:ascii="Calibri" w:eastAsia="Helvetica" w:hAnsi="Calibri" w:cs="Helvetica"/>
          <w:szCs w:val="24"/>
          <w:lang w:eastAsia="en-US"/>
        </w:rPr>
        <w:t xml:space="preserve">. The goal of this inventory and stock taking is to develop a bigger picture assessment that would help to </w:t>
      </w:r>
      <w:r w:rsidR="00FD5E59">
        <w:rPr>
          <w:rFonts w:ascii="Calibri" w:eastAsia="Helvetica" w:hAnsi="Calibri" w:cs="Helvetica"/>
          <w:szCs w:val="24"/>
          <w:lang w:eastAsia="en-US"/>
        </w:rPr>
        <w:t>shar</w:t>
      </w:r>
      <w:r w:rsidR="007D74D3">
        <w:rPr>
          <w:rFonts w:ascii="Calibri" w:eastAsia="Helvetica" w:hAnsi="Calibri" w:cs="Helvetica"/>
          <w:szCs w:val="24"/>
          <w:lang w:eastAsia="en-US"/>
        </w:rPr>
        <w:t>e</w:t>
      </w:r>
      <w:r w:rsidR="00AD2011">
        <w:rPr>
          <w:rFonts w:ascii="Calibri" w:eastAsia="Helvetica" w:hAnsi="Calibri" w:cs="Helvetica"/>
          <w:szCs w:val="24"/>
          <w:lang w:eastAsia="en-US"/>
        </w:rPr>
        <w:t xml:space="preserve"> </w:t>
      </w:r>
      <w:r w:rsidR="007D74D3">
        <w:rPr>
          <w:rFonts w:ascii="Calibri" w:eastAsia="Helvetica" w:hAnsi="Calibri" w:cs="Helvetica"/>
          <w:szCs w:val="24"/>
          <w:lang w:eastAsia="en-US"/>
        </w:rPr>
        <w:t xml:space="preserve">lessons related to success and failure, </w:t>
      </w:r>
      <w:r w:rsidR="004D3E84">
        <w:rPr>
          <w:rFonts w:ascii="Calibri" w:eastAsia="Helvetica" w:hAnsi="Calibri" w:cs="Helvetica"/>
          <w:szCs w:val="24"/>
          <w:lang w:eastAsia="en-US"/>
        </w:rPr>
        <w:t xml:space="preserve">highlight </w:t>
      </w:r>
      <w:r w:rsidR="007D74D3">
        <w:rPr>
          <w:rFonts w:ascii="Calibri" w:eastAsia="Helvetica" w:hAnsi="Calibri" w:cs="Helvetica"/>
          <w:szCs w:val="24"/>
          <w:lang w:eastAsia="en-US"/>
        </w:rPr>
        <w:t xml:space="preserve">common </w:t>
      </w:r>
      <w:r w:rsidR="004D3E84">
        <w:rPr>
          <w:rFonts w:ascii="Calibri" w:eastAsia="Helvetica" w:hAnsi="Calibri" w:cs="Helvetica"/>
          <w:szCs w:val="24"/>
          <w:lang w:eastAsia="en-US"/>
        </w:rPr>
        <w:t>challenges</w:t>
      </w:r>
      <w:r w:rsidR="00FD5E59">
        <w:rPr>
          <w:rFonts w:ascii="Calibri" w:eastAsia="Helvetica" w:hAnsi="Calibri" w:cs="Helvetica"/>
          <w:szCs w:val="24"/>
          <w:lang w:eastAsia="en-US"/>
        </w:rPr>
        <w:t>, and identify</w:t>
      </w:r>
      <w:r w:rsidR="00855354">
        <w:rPr>
          <w:rFonts w:ascii="Calibri" w:eastAsia="Helvetica" w:hAnsi="Calibri" w:cs="Helvetica"/>
          <w:szCs w:val="24"/>
          <w:lang w:eastAsia="en-US"/>
        </w:rPr>
        <w:t xml:space="preserve"> </w:t>
      </w:r>
      <w:r w:rsidR="007D74D3">
        <w:rPr>
          <w:rFonts w:ascii="Calibri" w:eastAsia="Helvetica" w:hAnsi="Calibri" w:cs="Helvetica"/>
          <w:szCs w:val="24"/>
          <w:lang w:eastAsia="en-US"/>
        </w:rPr>
        <w:t xml:space="preserve">opportunities for improvement amongst diverse stakeholders. </w:t>
      </w:r>
      <w:r w:rsidR="00742E18">
        <w:rPr>
          <w:rFonts w:ascii="Calibri" w:eastAsia="Helvetica" w:hAnsi="Calibri" w:cs="Helvetica"/>
          <w:szCs w:val="24"/>
          <w:lang w:eastAsia="en-US"/>
        </w:rPr>
        <w:t>This</w:t>
      </w:r>
      <w:r w:rsidR="007D74D3">
        <w:rPr>
          <w:rFonts w:ascii="Calibri" w:eastAsia="Helvetica" w:hAnsi="Calibri" w:cs="Helvetica"/>
          <w:szCs w:val="24"/>
          <w:lang w:eastAsia="en-US"/>
        </w:rPr>
        <w:t xml:space="preserve"> assessment process</w:t>
      </w:r>
      <w:r w:rsidR="00742E18">
        <w:rPr>
          <w:rFonts w:ascii="Calibri" w:eastAsia="Helvetica" w:hAnsi="Calibri" w:cs="Helvetica"/>
          <w:szCs w:val="24"/>
          <w:lang w:eastAsia="en-US"/>
        </w:rPr>
        <w:t xml:space="preserve"> </w:t>
      </w:r>
      <w:r w:rsidR="0018405D">
        <w:rPr>
          <w:rFonts w:ascii="Calibri" w:eastAsia="Helvetica" w:hAnsi="Calibri" w:cs="Helvetica"/>
          <w:szCs w:val="24"/>
          <w:lang w:eastAsia="en-US"/>
        </w:rPr>
        <w:t xml:space="preserve">should </w:t>
      </w:r>
      <w:r w:rsidR="009C37E4">
        <w:rPr>
          <w:rFonts w:ascii="Calibri" w:eastAsia="Helvetica" w:hAnsi="Calibri" w:cs="Helvetica"/>
          <w:szCs w:val="24"/>
          <w:lang w:eastAsia="en-US"/>
        </w:rPr>
        <w:t xml:space="preserve">inform intergovernmental and multi-stakeholder </w:t>
      </w:r>
      <w:r w:rsidR="00270D39">
        <w:rPr>
          <w:rFonts w:ascii="Calibri" w:eastAsia="Helvetica" w:hAnsi="Calibri" w:cs="Helvetica"/>
          <w:szCs w:val="24"/>
          <w:lang w:eastAsia="en-US"/>
        </w:rPr>
        <w:t>agendas</w:t>
      </w:r>
      <w:r w:rsidR="009C37E4">
        <w:rPr>
          <w:rFonts w:ascii="Calibri" w:eastAsia="Helvetica" w:hAnsi="Calibri" w:cs="Helvetica"/>
          <w:szCs w:val="24"/>
          <w:lang w:eastAsia="en-US"/>
        </w:rPr>
        <w:t xml:space="preserve">, including the </w:t>
      </w:r>
      <w:r w:rsidR="00270D39">
        <w:rPr>
          <w:rFonts w:ascii="Calibri" w:eastAsia="Helvetica" w:hAnsi="Calibri" w:cs="Helvetica"/>
          <w:szCs w:val="24"/>
          <w:lang w:eastAsia="en-US"/>
        </w:rPr>
        <w:t xml:space="preserve">High-Level Political Forum, the </w:t>
      </w:r>
      <w:r w:rsidR="009C37E4">
        <w:rPr>
          <w:rFonts w:ascii="Calibri" w:eastAsia="Helvetica" w:hAnsi="Calibri" w:cs="Helvetica"/>
          <w:szCs w:val="24"/>
          <w:lang w:eastAsia="en-US"/>
        </w:rPr>
        <w:t>World Health Assembly</w:t>
      </w:r>
      <w:r w:rsidR="00894B48">
        <w:rPr>
          <w:rFonts w:ascii="Calibri" w:eastAsia="Helvetica" w:hAnsi="Calibri" w:cs="Helvetica"/>
          <w:szCs w:val="24"/>
          <w:lang w:eastAsia="en-US"/>
        </w:rPr>
        <w:t>, the</w:t>
      </w:r>
      <w:r w:rsidR="009C37E4">
        <w:rPr>
          <w:rFonts w:ascii="Calibri" w:eastAsia="Helvetica" w:hAnsi="Calibri" w:cs="Helvetica"/>
          <w:szCs w:val="24"/>
          <w:lang w:eastAsia="en-US"/>
        </w:rPr>
        <w:t xml:space="preserve"> UN General Assembly,</w:t>
      </w:r>
      <w:r w:rsidR="00894B48">
        <w:rPr>
          <w:rFonts w:ascii="Calibri" w:eastAsia="Helvetica" w:hAnsi="Calibri" w:cs="Helvetica"/>
          <w:szCs w:val="24"/>
          <w:lang w:eastAsia="en-US"/>
        </w:rPr>
        <w:t xml:space="preserve"> </w:t>
      </w:r>
      <w:r w:rsidR="009C37E4">
        <w:rPr>
          <w:rFonts w:ascii="Calibri" w:eastAsia="Helvetica" w:hAnsi="Calibri" w:cs="Helvetica"/>
          <w:szCs w:val="24"/>
          <w:lang w:eastAsia="en-US"/>
        </w:rPr>
        <w:t>as well as relevant regional platforms.</w:t>
      </w:r>
      <w:r w:rsidR="00EB45E4" w:rsidRPr="00EB45E4">
        <w:rPr>
          <w:rFonts w:ascii="Calibri" w:eastAsia="Helvetica" w:hAnsi="Calibri" w:cs="Helvetica"/>
          <w:szCs w:val="24"/>
          <w:lang w:eastAsia="en-US"/>
        </w:rPr>
        <w:t xml:space="preserve"> </w:t>
      </w:r>
    </w:p>
    <w:p w:rsidR="00D20474" w:rsidRDefault="00D20474" w:rsidP="008400A4">
      <w:pPr>
        <w:spacing w:after="0" w:line="240" w:lineRule="auto"/>
        <w:rPr>
          <w:rFonts w:ascii="Calibri" w:eastAsia="Helvetica" w:hAnsi="Calibri" w:cs="Helvetica"/>
          <w:szCs w:val="24"/>
          <w:lang w:eastAsia="en-US"/>
        </w:rPr>
      </w:pPr>
    </w:p>
    <w:p w:rsidR="00FD51D8" w:rsidRDefault="00FC1CD4" w:rsidP="00843D07">
      <w:pPr>
        <w:spacing w:after="0" w:line="240" w:lineRule="auto"/>
        <w:rPr>
          <w:rFonts w:ascii="Calibri" w:eastAsia="Helvetica" w:hAnsi="Calibri" w:cs="Helvetica"/>
          <w:szCs w:val="24"/>
          <w:lang w:eastAsia="en-US"/>
        </w:rPr>
      </w:pPr>
      <w:r>
        <w:rPr>
          <w:rFonts w:ascii="Calibri" w:eastAsia="Helvetica" w:hAnsi="Calibri" w:cs="Helvetica"/>
          <w:szCs w:val="24"/>
          <w:lang w:eastAsia="en-US"/>
        </w:rPr>
        <w:t xml:space="preserve">In collaboration with the Health Data Collaborative, </w:t>
      </w:r>
      <w:r w:rsidR="009C37E4">
        <w:rPr>
          <w:rFonts w:ascii="Calibri" w:eastAsia="Helvetica" w:hAnsi="Calibri" w:cs="Helvetica"/>
          <w:szCs w:val="24"/>
          <w:lang w:eastAsia="en-US"/>
        </w:rPr>
        <w:t>UHC 2030</w:t>
      </w:r>
      <w:r w:rsidR="00934934">
        <w:rPr>
          <w:rFonts w:ascii="Calibri" w:eastAsia="Helvetica" w:hAnsi="Calibri" w:cs="Helvetica"/>
          <w:szCs w:val="24"/>
          <w:lang w:eastAsia="en-US"/>
        </w:rPr>
        <w:t xml:space="preserve"> will support countries to strengthen multi-stakeholder and multi-sector review to </w:t>
      </w:r>
      <w:r w:rsidR="001B0F0F">
        <w:rPr>
          <w:rFonts w:ascii="Calibri" w:eastAsia="Helvetica" w:hAnsi="Calibri" w:cs="Helvetica"/>
          <w:szCs w:val="24"/>
          <w:lang w:eastAsia="en-US"/>
        </w:rPr>
        <w:t>influence</w:t>
      </w:r>
      <w:r w:rsidR="00934934">
        <w:rPr>
          <w:rFonts w:ascii="Calibri" w:eastAsia="Helvetica" w:hAnsi="Calibri" w:cs="Helvetica"/>
          <w:szCs w:val="24"/>
          <w:lang w:eastAsia="en-US"/>
        </w:rPr>
        <w:t xml:space="preserve"> policy and planning processes. </w:t>
      </w:r>
      <w:r w:rsidR="00843D07">
        <w:rPr>
          <w:rFonts w:ascii="Calibri" w:eastAsia="Helvetica" w:hAnsi="Calibri" w:cs="Helvetica"/>
          <w:szCs w:val="24"/>
          <w:lang w:eastAsia="en-US"/>
        </w:rPr>
        <w:t xml:space="preserve">UHC 2030 will consider how </w:t>
      </w:r>
      <w:r w:rsidR="000F3FE0">
        <w:rPr>
          <w:rFonts w:ascii="Calibri" w:eastAsia="Helvetica" w:hAnsi="Calibri" w:cs="Helvetica"/>
          <w:szCs w:val="24"/>
          <w:lang w:eastAsia="en-US"/>
        </w:rPr>
        <w:t xml:space="preserve">to </w:t>
      </w:r>
      <w:r w:rsidR="00843D07">
        <w:rPr>
          <w:rFonts w:ascii="Calibri" w:eastAsia="Helvetica" w:hAnsi="Calibri" w:cs="Helvetica"/>
          <w:szCs w:val="24"/>
          <w:lang w:eastAsia="en-US"/>
        </w:rPr>
        <w:t xml:space="preserve">maintain and institutionalise </w:t>
      </w:r>
      <w:r w:rsidR="00D20474">
        <w:rPr>
          <w:rFonts w:ascii="Calibri" w:eastAsia="Helvetica" w:hAnsi="Calibri" w:cs="Helvetica"/>
          <w:szCs w:val="24"/>
          <w:lang w:eastAsia="en-US"/>
        </w:rPr>
        <w:t>the monitoring of IHP+ principles and behaviours</w:t>
      </w:r>
      <w:r w:rsidR="00271D8D">
        <w:rPr>
          <w:rFonts w:ascii="Calibri" w:eastAsia="Helvetica" w:hAnsi="Calibri" w:cs="Helvetica"/>
          <w:szCs w:val="24"/>
          <w:lang w:eastAsia="en-US"/>
        </w:rPr>
        <w:t xml:space="preserve"> in countries receiving development assistance</w:t>
      </w:r>
      <w:r w:rsidR="00D20474">
        <w:rPr>
          <w:rFonts w:ascii="Calibri" w:eastAsia="Helvetica" w:hAnsi="Calibri" w:cs="Helvetica"/>
          <w:szCs w:val="24"/>
          <w:lang w:eastAsia="en-US"/>
        </w:rPr>
        <w:t xml:space="preserve">. </w:t>
      </w:r>
    </w:p>
    <w:p w:rsidR="00FD51D8" w:rsidRDefault="00FD51D8" w:rsidP="008400A4">
      <w:pPr>
        <w:spacing w:after="0" w:line="240" w:lineRule="auto"/>
        <w:rPr>
          <w:rFonts w:ascii="Calibri" w:eastAsia="Helvetica" w:hAnsi="Calibri" w:cs="Helvetica"/>
          <w:szCs w:val="24"/>
          <w:lang w:eastAsia="en-US"/>
        </w:rPr>
      </w:pPr>
    </w:p>
    <w:p w:rsidR="00D20474" w:rsidRDefault="00FD51D8" w:rsidP="008400A4">
      <w:pPr>
        <w:spacing w:after="0" w:line="240" w:lineRule="auto"/>
        <w:rPr>
          <w:rFonts w:ascii="Calibri" w:eastAsia="Helvetica" w:hAnsi="Calibri" w:cs="Helvetica"/>
          <w:szCs w:val="24"/>
          <w:lang w:eastAsia="en-US"/>
        </w:rPr>
      </w:pPr>
      <w:r>
        <w:rPr>
          <w:rFonts w:ascii="Calibri" w:eastAsia="Helvetica" w:hAnsi="Calibri" w:cs="Helvetica"/>
          <w:szCs w:val="24"/>
          <w:lang w:eastAsia="en-US"/>
        </w:rPr>
        <w:t xml:space="preserve">The UHC 2030 civil society engagement mechanism will </w:t>
      </w:r>
      <w:r w:rsidR="00AC2549">
        <w:rPr>
          <w:rFonts w:ascii="Calibri" w:eastAsia="Helvetica" w:hAnsi="Calibri" w:cs="Helvetica"/>
          <w:szCs w:val="24"/>
          <w:lang w:eastAsia="en-US"/>
        </w:rPr>
        <w:t>complement these effort</w:t>
      </w:r>
      <w:r w:rsidR="004F13DE">
        <w:rPr>
          <w:rFonts w:ascii="Calibri" w:eastAsia="Helvetica" w:hAnsi="Calibri" w:cs="Helvetica"/>
          <w:szCs w:val="24"/>
          <w:lang w:eastAsia="en-US"/>
        </w:rPr>
        <w:t>s to strengthen accountability for health systems and UHC</w:t>
      </w:r>
      <w:r w:rsidR="000C5E6E">
        <w:rPr>
          <w:rFonts w:ascii="Calibri" w:eastAsia="Helvetica" w:hAnsi="Calibri" w:cs="Helvetica"/>
          <w:szCs w:val="24"/>
          <w:lang w:eastAsia="en-US"/>
        </w:rPr>
        <w:t>, mobilising citizen engagement and advocacy to drive political and policy change</w:t>
      </w:r>
      <w:r w:rsidR="004F13DE">
        <w:rPr>
          <w:rFonts w:ascii="Calibri" w:eastAsia="Helvetica" w:hAnsi="Calibri" w:cs="Helvetica"/>
          <w:szCs w:val="24"/>
          <w:lang w:eastAsia="en-US"/>
        </w:rPr>
        <w:t>.</w:t>
      </w:r>
    </w:p>
    <w:p w:rsidR="00D20474" w:rsidRDefault="00D20474" w:rsidP="008400A4">
      <w:pPr>
        <w:spacing w:after="0" w:line="240" w:lineRule="auto"/>
        <w:rPr>
          <w:rFonts w:ascii="Calibri" w:eastAsia="Helvetica" w:hAnsi="Calibri" w:cs="Helvetica"/>
          <w:szCs w:val="24"/>
          <w:lang w:eastAsia="en-US"/>
        </w:rPr>
      </w:pPr>
    </w:p>
    <w:p w:rsidR="00381B6F" w:rsidRPr="008400A4" w:rsidRDefault="00381B6F" w:rsidP="008400A4">
      <w:pPr>
        <w:pStyle w:val="ListParagraph"/>
        <w:numPr>
          <w:ilvl w:val="0"/>
          <w:numId w:val="6"/>
        </w:numPr>
        <w:spacing w:after="120" w:line="240" w:lineRule="auto"/>
        <w:ind w:left="714" w:hanging="357"/>
        <w:rPr>
          <w:rFonts w:ascii="Calibri" w:eastAsia="Helvetica" w:hAnsi="Calibri" w:cs="Helvetica"/>
          <w:szCs w:val="24"/>
          <w:lang w:eastAsia="en-US"/>
        </w:rPr>
      </w:pPr>
      <w:r>
        <w:rPr>
          <w:rFonts w:ascii="Calibri" w:eastAsia="Helvetica" w:hAnsi="Calibri" w:cs="Helvetica"/>
          <w:b/>
          <w:szCs w:val="24"/>
          <w:lang w:eastAsia="en-US"/>
        </w:rPr>
        <w:t>K</w:t>
      </w:r>
      <w:r w:rsidRPr="008B7740">
        <w:rPr>
          <w:rFonts w:ascii="Calibri" w:eastAsia="Helvetica" w:hAnsi="Calibri" w:cs="Helvetica"/>
          <w:b/>
          <w:szCs w:val="24"/>
          <w:lang w:eastAsia="en-US"/>
        </w:rPr>
        <w:t xml:space="preserve">nowledge </w:t>
      </w:r>
      <w:r w:rsidR="001F0958">
        <w:rPr>
          <w:rFonts w:ascii="Calibri" w:eastAsia="Helvetica" w:hAnsi="Calibri" w:cs="Helvetica"/>
          <w:b/>
          <w:szCs w:val="24"/>
          <w:lang w:eastAsia="en-US"/>
        </w:rPr>
        <w:t xml:space="preserve">management </w:t>
      </w:r>
    </w:p>
    <w:p w:rsidR="00D112B5" w:rsidRDefault="00381B6F" w:rsidP="00581C2E">
      <w:pPr>
        <w:spacing w:after="0" w:line="240" w:lineRule="auto"/>
        <w:rPr>
          <w:rFonts w:ascii="Calibri" w:eastAsia="Helvetica" w:hAnsi="Calibri" w:cs="Helvetica"/>
          <w:lang w:val="en-US" w:eastAsia="en-US"/>
        </w:rPr>
      </w:pPr>
      <w:r>
        <w:rPr>
          <w:rFonts w:ascii="Calibri" w:eastAsia="Helvetica" w:hAnsi="Calibri" w:cs="Helvetica"/>
          <w:szCs w:val="24"/>
          <w:lang w:eastAsia="en-US"/>
        </w:rPr>
        <w:t xml:space="preserve">The UHC 2030 </w:t>
      </w:r>
      <w:r w:rsidR="00761253">
        <w:rPr>
          <w:rFonts w:ascii="Calibri" w:eastAsia="Helvetica" w:hAnsi="Calibri" w:cs="Helvetica"/>
          <w:szCs w:val="24"/>
          <w:lang w:eastAsia="en-US"/>
        </w:rPr>
        <w:t>will improve</w:t>
      </w:r>
      <w:r w:rsidR="00395D9F">
        <w:rPr>
          <w:rFonts w:ascii="Calibri" w:eastAsia="MS Mincho" w:hAnsi="Calibri" w:cs="Helvetica" w:hint="eastAsia"/>
          <w:szCs w:val="24"/>
          <w:lang w:eastAsia="ja-JP"/>
        </w:rPr>
        <w:t xml:space="preserve"> </w:t>
      </w:r>
      <w:r>
        <w:rPr>
          <w:rFonts w:ascii="Calibri" w:eastAsia="Helvetica" w:hAnsi="Calibri" w:cs="Helvetica"/>
          <w:szCs w:val="24"/>
          <w:lang w:eastAsia="en-US"/>
        </w:rPr>
        <w:t>knowledge management</w:t>
      </w:r>
      <w:r w:rsidR="001E1E6B">
        <w:rPr>
          <w:rFonts w:ascii="Calibri" w:eastAsia="Helvetica" w:hAnsi="Calibri" w:cs="Helvetica"/>
          <w:szCs w:val="24"/>
          <w:lang w:eastAsia="en-US"/>
        </w:rPr>
        <w:t xml:space="preserve"> on health systems and UHC</w:t>
      </w:r>
      <w:r>
        <w:rPr>
          <w:rFonts w:ascii="Calibri" w:eastAsia="Helvetica" w:hAnsi="Calibri" w:cs="Helvetica"/>
          <w:szCs w:val="24"/>
          <w:lang w:eastAsia="en-US"/>
        </w:rPr>
        <w:t xml:space="preserve">, </w:t>
      </w:r>
      <w:r w:rsidR="004F03EC">
        <w:rPr>
          <w:rFonts w:ascii="Calibri" w:eastAsia="Helvetica" w:hAnsi="Calibri" w:cs="Helvetica"/>
          <w:szCs w:val="24"/>
          <w:lang w:eastAsia="en-US"/>
        </w:rPr>
        <w:t>facilitatin</w:t>
      </w:r>
      <w:r w:rsidR="000515E0">
        <w:rPr>
          <w:rFonts w:ascii="Calibri" w:eastAsia="Helvetica" w:hAnsi="Calibri" w:cs="Helvetica"/>
          <w:szCs w:val="24"/>
          <w:lang w:eastAsia="en-US"/>
        </w:rPr>
        <w:t xml:space="preserve">g partners to share experiences, </w:t>
      </w:r>
      <w:r w:rsidR="004F03EC">
        <w:rPr>
          <w:rFonts w:ascii="Calibri" w:eastAsia="Helvetica" w:hAnsi="Calibri" w:cs="Helvetica"/>
          <w:szCs w:val="24"/>
          <w:lang w:eastAsia="en-US"/>
        </w:rPr>
        <w:t>promote</w:t>
      </w:r>
      <w:r>
        <w:rPr>
          <w:rFonts w:ascii="Calibri" w:eastAsia="Helvetica" w:hAnsi="Calibri" w:cs="Helvetica"/>
          <w:szCs w:val="24"/>
          <w:lang w:eastAsia="en-US"/>
        </w:rPr>
        <w:t xml:space="preserve"> learning</w:t>
      </w:r>
      <w:r w:rsidR="000C4DAA">
        <w:rPr>
          <w:rFonts w:ascii="Calibri" w:eastAsia="Helvetica" w:hAnsi="Calibri" w:cs="Helvetica"/>
          <w:szCs w:val="24"/>
          <w:lang w:eastAsia="en-US"/>
        </w:rPr>
        <w:t xml:space="preserve"> with a view to</w:t>
      </w:r>
      <w:r>
        <w:rPr>
          <w:rFonts w:ascii="Calibri" w:eastAsia="Helvetica" w:hAnsi="Calibri" w:cs="Helvetica"/>
          <w:szCs w:val="24"/>
          <w:lang w:eastAsia="en-US"/>
        </w:rPr>
        <w:t xml:space="preserve"> </w:t>
      </w:r>
      <w:r w:rsidR="000515E0">
        <w:rPr>
          <w:rFonts w:ascii="Calibri" w:eastAsia="Helvetica" w:hAnsi="Calibri" w:cs="Helvetica"/>
          <w:szCs w:val="24"/>
          <w:lang w:eastAsia="en-US"/>
        </w:rPr>
        <w:t>inform</w:t>
      </w:r>
      <w:r w:rsidR="000C4DAA">
        <w:rPr>
          <w:rFonts w:ascii="Calibri" w:eastAsia="Helvetica" w:hAnsi="Calibri" w:cs="Helvetica"/>
          <w:szCs w:val="24"/>
          <w:lang w:eastAsia="en-US"/>
        </w:rPr>
        <w:t>ing</w:t>
      </w:r>
      <w:r w:rsidR="00DF1DE6">
        <w:rPr>
          <w:rFonts w:ascii="Calibri" w:eastAsia="Helvetica" w:hAnsi="Calibri" w:cs="Helvetica"/>
          <w:szCs w:val="24"/>
          <w:lang w:eastAsia="en-US"/>
        </w:rPr>
        <w:t xml:space="preserve"> </w:t>
      </w:r>
      <w:r w:rsidR="000515E0">
        <w:rPr>
          <w:rFonts w:ascii="Calibri" w:eastAsia="Helvetica" w:hAnsi="Calibri" w:cs="Helvetica"/>
          <w:szCs w:val="24"/>
          <w:lang w:eastAsia="en-US"/>
        </w:rPr>
        <w:t>policy.</w:t>
      </w:r>
      <w:r w:rsidR="001F0958">
        <w:rPr>
          <w:rFonts w:ascii="Calibri" w:eastAsia="Helvetica" w:hAnsi="Calibri" w:cs="Helvetica"/>
          <w:szCs w:val="24"/>
          <w:lang w:eastAsia="en-US"/>
        </w:rPr>
        <w:t xml:space="preserve"> </w:t>
      </w:r>
      <w:r w:rsidR="00B17AB1">
        <w:rPr>
          <w:rFonts w:ascii="Calibri" w:eastAsia="Helvetica" w:hAnsi="Calibri" w:cs="Helvetica"/>
          <w:szCs w:val="24"/>
          <w:lang w:eastAsia="en-US"/>
        </w:rPr>
        <w:t xml:space="preserve">UHC 2030 will explore how to best </w:t>
      </w:r>
      <w:r w:rsidR="00A827C9">
        <w:rPr>
          <w:rFonts w:ascii="Calibri" w:eastAsia="Helvetica" w:hAnsi="Calibri" w:cs="Helvetica"/>
          <w:szCs w:val="24"/>
          <w:lang w:eastAsia="en-US"/>
        </w:rPr>
        <w:t xml:space="preserve">streamline </w:t>
      </w:r>
      <w:r w:rsidR="00E92154">
        <w:rPr>
          <w:rFonts w:ascii="Calibri" w:eastAsia="Helvetica" w:hAnsi="Calibri" w:cs="Helvetica"/>
          <w:szCs w:val="24"/>
          <w:lang w:eastAsia="en-US"/>
        </w:rPr>
        <w:t xml:space="preserve">access to knowledge products, mechanisms for exchange and communication tools </w:t>
      </w:r>
      <w:r w:rsidR="00A827C9">
        <w:rPr>
          <w:rFonts w:ascii="Calibri" w:eastAsia="Helvetica" w:hAnsi="Calibri" w:cs="Helvetica"/>
          <w:szCs w:val="24"/>
          <w:lang w:eastAsia="en-US"/>
        </w:rPr>
        <w:t xml:space="preserve">to </w:t>
      </w:r>
      <w:r w:rsidR="00B17AB1">
        <w:rPr>
          <w:rFonts w:ascii="Calibri" w:eastAsia="Helvetica" w:hAnsi="Calibri" w:cs="Helvetica"/>
          <w:szCs w:val="24"/>
          <w:lang w:eastAsia="en-US"/>
        </w:rPr>
        <w:t>improve</w:t>
      </w:r>
      <w:r w:rsidR="00E92154">
        <w:rPr>
          <w:rFonts w:ascii="Calibri" w:eastAsia="Helvetica" w:hAnsi="Calibri" w:cs="Helvetica"/>
          <w:szCs w:val="24"/>
          <w:lang w:eastAsia="en-US"/>
        </w:rPr>
        <w:t xml:space="preserve"> policy coherence and reduce inefficiencies associated with fragmentation</w:t>
      </w:r>
      <w:r w:rsidR="00D0332A">
        <w:rPr>
          <w:rFonts w:ascii="Calibri" w:eastAsia="Helvetica" w:hAnsi="Calibri" w:cs="Helvetica"/>
          <w:szCs w:val="24"/>
          <w:lang w:eastAsia="en-US"/>
        </w:rPr>
        <w:t>.</w:t>
      </w:r>
      <w:r w:rsidR="000C5E6E">
        <w:rPr>
          <w:rFonts w:ascii="Calibri" w:eastAsia="Helvetica" w:hAnsi="Calibri" w:cs="Helvetica"/>
          <w:szCs w:val="24"/>
          <w:lang w:eastAsia="en-US"/>
        </w:rPr>
        <w:t xml:space="preserve"> </w:t>
      </w:r>
      <w:r w:rsidR="00D112B5" w:rsidRPr="00FE4D8B">
        <w:rPr>
          <w:rFonts w:ascii="Calibri" w:eastAsia="Helvetica" w:hAnsi="Calibri" w:cs="Helvetica"/>
          <w:lang w:val="en-US" w:eastAsia="en-US"/>
        </w:rPr>
        <w:t>T</w:t>
      </w:r>
      <w:r w:rsidR="008400A4">
        <w:rPr>
          <w:rFonts w:ascii="Calibri" w:eastAsia="Helvetica" w:hAnsi="Calibri" w:cs="Helvetica"/>
          <w:lang w:val="en-US" w:eastAsia="en-US"/>
        </w:rPr>
        <w:t xml:space="preserve">his will </w:t>
      </w:r>
      <w:r w:rsidR="008B2B82">
        <w:rPr>
          <w:rFonts w:ascii="Calibri" w:eastAsia="Helvetica" w:hAnsi="Calibri" w:cs="Helvetica"/>
          <w:lang w:val="en-US" w:eastAsia="en-US"/>
        </w:rPr>
        <w:t xml:space="preserve">complement </w:t>
      </w:r>
      <w:r w:rsidR="008400A4">
        <w:rPr>
          <w:rFonts w:ascii="Calibri" w:eastAsia="Helvetica" w:hAnsi="Calibri" w:cs="Helvetica"/>
          <w:lang w:val="en-US" w:eastAsia="en-US"/>
        </w:rPr>
        <w:t xml:space="preserve">efforts by </w:t>
      </w:r>
      <w:r w:rsidR="00D112B5" w:rsidRPr="00FE4D8B">
        <w:rPr>
          <w:rFonts w:ascii="Calibri" w:eastAsia="Helvetica" w:hAnsi="Calibri" w:cs="Helvetica"/>
          <w:lang w:val="en-US" w:eastAsia="en-US"/>
        </w:rPr>
        <w:t>international and national technical agencies</w:t>
      </w:r>
      <w:r w:rsidR="008B2B82">
        <w:rPr>
          <w:rFonts w:ascii="Calibri" w:eastAsia="Helvetica" w:hAnsi="Calibri" w:cs="Helvetica"/>
          <w:lang w:val="en-US" w:eastAsia="en-US"/>
        </w:rPr>
        <w:t>, academia</w:t>
      </w:r>
      <w:r w:rsidR="00D112B5" w:rsidRPr="00FE4D8B">
        <w:rPr>
          <w:rFonts w:ascii="Calibri" w:eastAsia="Helvetica" w:hAnsi="Calibri" w:cs="Helvetica"/>
          <w:lang w:val="en-US" w:eastAsia="en-US"/>
        </w:rPr>
        <w:t xml:space="preserve"> and other stakeholders</w:t>
      </w:r>
      <w:r w:rsidR="008B2B82">
        <w:rPr>
          <w:rFonts w:ascii="Calibri" w:eastAsia="Helvetica" w:hAnsi="Calibri" w:cs="Helvetica"/>
          <w:lang w:val="en-US" w:eastAsia="en-US"/>
        </w:rPr>
        <w:t>, and leverage relevant initiatives</w:t>
      </w:r>
      <w:r w:rsidR="008B2B82">
        <w:rPr>
          <w:rStyle w:val="FootnoteReference"/>
          <w:rFonts w:ascii="Calibri" w:eastAsia="Helvetica" w:hAnsi="Calibri" w:cs="Helvetica"/>
          <w:szCs w:val="24"/>
          <w:lang w:eastAsia="en-US"/>
        </w:rPr>
        <w:footnoteReference w:id="12"/>
      </w:r>
      <w:r w:rsidR="008B2B82">
        <w:rPr>
          <w:rFonts w:ascii="Calibri" w:eastAsia="Helvetica" w:hAnsi="Calibri" w:cs="Helvetica"/>
          <w:lang w:val="en-US" w:eastAsia="en-US"/>
        </w:rPr>
        <w:t>.</w:t>
      </w:r>
    </w:p>
    <w:p w:rsidR="001F751C" w:rsidRDefault="001F751C" w:rsidP="00581C2E">
      <w:pPr>
        <w:spacing w:after="0" w:line="240" w:lineRule="auto"/>
        <w:rPr>
          <w:rFonts w:ascii="Calibri" w:eastAsia="Helvetica" w:hAnsi="Calibri" w:cs="Helvetica"/>
          <w:lang w:val="en-US" w:eastAsia="en-US"/>
        </w:rPr>
      </w:pPr>
    </w:p>
    <w:p w:rsidR="001F751C" w:rsidRPr="008400A4" w:rsidRDefault="00803D57" w:rsidP="002D28DD">
      <w:pPr>
        <w:pStyle w:val="ListParagraph"/>
        <w:numPr>
          <w:ilvl w:val="0"/>
          <w:numId w:val="6"/>
        </w:numPr>
        <w:spacing w:after="120" w:line="240" w:lineRule="auto"/>
        <w:rPr>
          <w:rFonts w:ascii="Calibri" w:eastAsia="Helvetica" w:hAnsi="Calibri" w:cs="Helvetica"/>
          <w:szCs w:val="24"/>
          <w:lang w:eastAsia="en-US"/>
        </w:rPr>
      </w:pPr>
      <w:r>
        <w:rPr>
          <w:rFonts w:ascii="Calibri" w:eastAsia="Helvetica" w:hAnsi="Calibri" w:cs="Helvetica"/>
          <w:b/>
          <w:szCs w:val="24"/>
          <w:lang w:eastAsia="en-US"/>
        </w:rPr>
        <w:t>Providing</w:t>
      </w:r>
      <w:r w:rsidR="001F751C">
        <w:rPr>
          <w:rFonts w:ascii="Calibri" w:eastAsia="Helvetica" w:hAnsi="Calibri" w:cs="Helvetica"/>
          <w:b/>
          <w:szCs w:val="24"/>
          <w:lang w:eastAsia="en-US"/>
        </w:rPr>
        <w:t xml:space="preserve"> tools </w:t>
      </w:r>
    </w:p>
    <w:p w:rsidR="00416297" w:rsidRPr="00786EE2" w:rsidRDefault="00F87FF6" w:rsidP="00AA6CA5">
      <w:pPr>
        <w:spacing w:line="240" w:lineRule="auto"/>
      </w:pPr>
      <w:r w:rsidRPr="00786EE2">
        <w:t xml:space="preserve">UHC 2030 will </w:t>
      </w:r>
      <w:r w:rsidR="00AA6CA5">
        <w:t xml:space="preserve">continue to </w:t>
      </w:r>
      <w:r w:rsidRPr="00786EE2">
        <w:t xml:space="preserve">update existing tools (such as the JANS and JAR) and consider the development of new tools to </w:t>
      </w:r>
      <w:r w:rsidR="0077463C" w:rsidRPr="00786EE2">
        <w:t>assist</w:t>
      </w:r>
      <w:r w:rsidRPr="00786EE2">
        <w:t xml:space="preserve"> countries </w:t>
      </w:r>
      <w:r w:rsidR="00C36409" w:rsidRPr="00786EE2">
        <w:t>in translating</w:t>
      </w:r>
      <w:r w:rsidRPr="00786EE2">
        <w:t xml:space="preserve"> the principles </w:t>
      </w:r>
      <w:r w:rsidR="008004D7" w:rsidRPr="00786EE2">
        <w:t xml:space="preserve">of </w:t>
      </w:r>
      <w:r w:rsidRPr="00786EE2">
        <w:t xml:space="preserve">strengthening health </w:t>
      </w:r>
      <w:r w:rsidR="008A5E51" w:rsidRPr="00786EE2">
        <w:t>systems</w:t>
      </w:r>
      <w:r w:rsidRPr="00786EE2">
        <w:t xml:space="preserve"> for UHC</w:t>
      </w:r>
      <w:r w:rsidR="008004D7" w:rsidRPr="00786EE2">
        <w:t xml:space="preserve"> into practice</w:t>
      </w:r>
      <w:r w:rsidRPr="00786EE2">
        <w:t>.</w:t>
      </w:r>
      <w:r w:rsidR="000C5E6E" w:rsidRPr="00786EE2">
        <w:t xml:space="preserve"> Potential tools</w:t>
      </w:r>
      <w:r w:rsidR="003E624F" w:rsidRPr="00786EE2">
        <w:t xml:space="preserve"> could</w:t>
      </w:r>
      <w:r w:rsidR="000C5E6E" w:rsidRPr="00786EE2">
        <w:t xml:space="preserve"> include a </w:t>
      </w:r>
      <w:r w:rsidR="00BB6696" w:rsidRPr="00786EE2">
        <w:t xml:space="preserve">common approach </w:t>
      </w:r>
      <w:r w:rsidR="000F3FE0">
        <w:t>to</w:t>
      </w:r>
      <w:r w:rsidR="000F3FE0" w:rsidRPr="00786EE2">
        <w:t xml:space="preserve"> </w:t>
      </w:r>
      <w:r w:rsidR="00BB6696" w:rsidRPr="00786EE2">
        <w:t>health systems strengthening in fragile contex</w:t>
      </w:r>
      <w:r w:rsidR="000C4DAA">
        <w:t>t</w:t>
      </w:r>
      <w:r w:rsidR="00BB6696" w:rsidRPr="00786EE2">
        <w:t xml:space="preserve">s, a common approach </w:t>
      </w:r>
      <w:r w:rsidR="00334A9E">
        <w:t>to</w:t>
      </w:r>
      <w:r w:rsidR="00334A9E" w:rsidRPr="00786EE2">
        <w:t xml:space="preserve"> </w:t>
      </w:r>
      <w:r w:rsidR="000C5E6E" w:rsidRPr="00786EE2">
        <w:t xml:space="preserve">health systems </w:t>
      </w:r>
      <w:r w:rsidR="00AA6CA5">
        <w:t xml:space="preserve">performance </w:t>
      </w:r>
      <w:r w:rsidR="000C5E6E" w:rsidRPr="00786EE2">
        <w:t xml:space="preserve">assessment </w:t>
      </w:r>
      <w:r w:rsidR="00334A9E">
        <w:t>and</w:t>
      </w:r>
      <w:r w:rsidR="00BB6696" w:rsidRPr="00786EE2">
        <w:t xml:space="preserve"> </w:t>
      </w:r>
      <w:r w:rsidR="000C5E6E" w:rsidRPr="00786EE2">
        <w:t xml:space="preserve">a </w:t>
      </w:r>
      <w:r w:rsidR="00487108" w:rsidRPr="00786EE2">
        <w:t>joint</w:t>
      </w:r>
      <w:r w:rsidR="00AA6CA5">
        <w:t xml:space="preserve"> approach to</w:t>
      </w:r>
      <w:r w:rsidR="000C5E6E" w:rsidRPr="00786EE2">
        <w:t xml:space="preserve"> transition planning </w:t>
      </w:r>
      <w:r w:rsidR="00BB6696" w:rsidRPr="00786EE2">
        <w:t xml:space="preserve">(see possible </w:t>
      </w:r>
      <w:r w:rsidR="00BB6696" w:rsidRPr="000E0C9F">
        <w:t>list in Annex</w:t>
      </w:r>
      <w:r w:rsidR="00A54BD8">
        <w:t xml:space="preserve"> 1</w:t>
      </w:r>
      <w:r w:rsidR="00BB6696" w:rsidRPr="00786EE2">
        <w:t>)</w:t>
      </w:r>
      <w:r w:rsidR="00D75093">
        <w:t>.</w:t>
      </w:r>
      <w:r w:rsidR="00BB6696" w:rsidRPr="00786EE2">
        <w:t xml:space="preserve"> </w:t>
      </w:r>
    </w:p>
    <w:p w:rsidR="000E0C9F" w:rsidRDefault="000E0C9F">
      <w:r>
        <w:br w:type="page"/>
      </w:r>
    </w:p>
    <w:p w:rsidR="00381B6F" w:rsidRDefault="004122CB" w:rsidP="008B529B">
      <w:pPr>
        <w:spacing w:line="240" w:lineRule="auto"/>
        <w:rPr>
          <w:rFonts w:ascii="Calibri" w:eastAsia="Helvetica" w:hAnsi="Calibri" w:cs="Helvetica"/>
          <w:b/>
          <w:bCs/>
          <w:color w:val="499BC9"/>
          <w:szCs w:val="18"/>
          <w:lang w:eastAsia="en-US"/>
        </w:rPr>
      </w:pPr>
      <w:r w:rsidRPr="008B529B">
        <w:rPr>
          <w:rFonts w:ascii="Cambria" w:eastAsia="Helvetica" w:hAnsi="Cambria" w:cs="Helvetica"/>
          <w:b/>
          <w:bCs/>
          <w:color w:val="499BC9"/>
          <w:sz w:val="26"/>
          <w:szCs w:val="32"/>
          <w:lang w:eastAsia="en-US"/>
        </w:rPr>
        <w:t xml:space="preserve">UHC 2030 </w:t>
      </w:r>
      <w:r>
        <w:rPr>
          <w:rFonts w:ascii="Cambria" w:eastAsia="Helvetica" w:hAnsi="Cambria" w:cs="Helvetica"/>
          <w:b/>
          <w:bCs/>
          <w:color w:val="499BC9"/>
          <w:sz w:val="26"/>
          <w:szCs w:val="32"/>
          <w:lang w:eastAsia="en-US"/>
        </w:rPr>
        <w:t>Structure</w:t>
      </w:r>
    </w:p>
    <w:p w:rsidR="008B529B" w:rsidRDefault="00C3546D" w:rsidP="00DE43CA">
      <w:pPr>
        <w:rPr>
          <w:b/>
          <w:lang w:eastAsia="en-US"/>
        </w:rPr>
      </w:pPr>
      <w:r>
        <w:rPr>
          <w:b/>
          <w:lang w:eastAsia="en-US"/>
        </w:rPr>
        <w:t xml:space="preserve">Figure 1: </w:t>
      </w:r>
      <w:r w:rsidR="008B529B" w:rsidRPr="00DE43CA">
        <w:rPr>
          <w:b/>
          <w:lang w:eastAsia="en-US"/>
        </w:rPr>
        <w:t>UHC 2030</w:t>
      </w:r>
      <w:r w:rsidR="00AA78B2" w:rsidRPr="00DE43CA">
        <w:rPr>
          <w:b/>
          <w:lang w:eastAsia="en-US"/>
        </w:rPr>
        <w:t xml:space="preserve"> </w:t>
      </w:r>
      <w:r w:rsidR="00692734" w:rsidRPr="00DE43CA">
        <w:rPr>
          <w:b/>
          <w:lang w:eastAsia="en-US"/>
        </w:rPr>
        <w:t>– the n</w:t>
      </w:r>
      <w:r w:rsidR="008B529B" w:rsidRPr="00DE43CA">
        <w:rPr>
          <w:b/>
          <w:lang w:eastAsia="en-US"/>
        </w:rPr>
        <w:t>ew IH</w:t>
      </w:r>
      <w:r w:rsidR="004C19D4" w:rsidRPr="00DE43CA">
        <w:rPr>
          <w:b/>
          <w:lang w:eastAsia="en-US"/>
        </w:rPr>
        <w:t>P</w:t>
      </w:r>
      <w:r w:rsidR="00692734" w:rsidRPr="00DE43CA">
        <w:rPr>
          <w:b/>
          <w:lang w:eastAsia="en-US"/>
        </w:rPr>
        <w:t>+</w:t>
      </w:r>
      <w:r w:rsidR="008B529B" w:rsidRPr="00DE43CA">
        <w:rPr>
          <w:b/>
          <w:lang w:eastAsia="en-US"/>
        </w:rPr>
        <w:t xml:space="preserve"> structure</w:t>
      </w:r>
    </w:p>
    <w:p w:rsidR="00DA4259" w:rsidRPr="00DE43CA" w:rsidRDefault="00AA6CA5" w:rsidP="00DE43CA">
      <w:pPr>
        <w:rPr>
          <w:b/>
          <w:lang w:eastAsia="en-US"/>
        </w:rPr>
      </w:pPr>
      <w:r w:rsidRPr="000463BC">
        <w:rPr>
          <w:noProof/>
        </w:rPr>
        <w:drawing>
          <wp:inline distT="0" distB="0" distL="0" distR="0" wp14:anchorId="17453FDB" wp14:editId="56AF845B">
            <wp:extent cx="5930900" cy="3964940"/>
            <wp:effectExtent l="0" t="0" r="12700" b="0"/>
            <wp:docPr id="2" name="Picture 2" descr="Macintosh HD:Users:larabrearley:Desktop:Screen Shot 2016-06-15 at 18.2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brearley:Desktop:Screen Shot 2016-06-15 at 18.27.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3964940"/>
                    </a:xfrm>
                    <a:prstGeom prst="rect">
                      <a:avLst/>
                    </a:prstGeom>
                    <a:noFill/>
                    <a:ln>
                      <a:noFill/>
                    </a:ln>
                  </pic:spPr>
                </pic:pic>
              </a:graphicData>
            </a:graphic>
          </wp:inline>
        </w:drawing>
      </w:r>
    </w:p>
    <w:p w:rsidR="00AA78B2" w:rsidRPr="000C13E3" w:rsidRDefault="00AA78B2" w:rsidP="00692734">
      <w:pPr>
        <w:widowControl w:val="0"/>
        <w:autoSpaceDE w:val="0"/>
        <w:autoSpaceDN w:val="0"/>
        <w:adjustRightInd w:val="0"/>
        <w:spacing w:after="240" w:line="240" w:lineRule="auto"/>
        <w:rPr>
          <w:rFonts w:ascii="Calibri" w:eastAsia="Helvetica" w:hAnsi="Calibri" w:cs="Helvetica"/>
          <w:szCs w:val="24"/>
          <w:lang w:eastAsia="en-US"/>
        </w:rPr>
      </w:pPr>
    </w:p>
    <w:p w:rsidR="00AB20D8" w:rsidRDefault="00AA78B2" w:rsidP="00692734">
      <w:pPr>
        <w:widowControl w:val="0"/>
        <w:autoSpaceDE w:val="0"/>
        <w:autoSpaceDN w:val="0"/>
        <w:adjustRightInd w:val="0"/>
        <w:spacing w:after="240" w:line="240" w:lineRule="auto"/>
        <w:rPr>
          <w:rFonts w:ascii="Calibri" w:eastAsia="Helvetica" w:hAnsi="Calibri" w:cs="Helvetica"/>
          <w:szCs w:val="24"/>
          <w:lang w:eastAsia="en-US"/>
        </w:rPr>
      </w:pPr>
      <w:r>
        <w:rPr>
          <w:rFonts w:ascii="Calibri" w:eastAsia="Helvetica" w:hAnsi="Calibri" w:cs="Helvetica"/>
          <w:szCs w:val="24"/>
          <w:lang w:val="en-US" w:eastAsia="en-US"/>
        </w:rPr>
        <w:t xml:space="preserve">The </w:t>
      </w:r>
      <w:r w:rsidR="00692734" w:rsidRPr="00E80CD3">
        <w:rPr>
          <w:rFonts w:ascii="Calibri" w:eastAsia="Helvetica" w:hAnsi="Calibri" w:cs="Helvetica"/>
          <w:szCs w:val="24"/>
          <w:lang w:val="en-US" w:eastAsia="en-US"/>
        </w:rPr>
        <w:t xml:space="preserve">UHC </w:t>
      </w:r>
      <w:r w:rsidR="00692734">
        <w:rPr>
          <w:rFonts w:ascii="Calibri" w:eastAsia="Helvetica" w:hAnsi="Calibri" w:cs="Helvetica"/>
          <w:szCs w:val="24"/>
          <w:lang w:val="en-US" w:eastAsia="en-US"/>
        </w:rPr>
        <w:t>2030</w:t>
      </w:r>
      <w:r w:rsidR="00D765F9">
        <w:rPr>
          <w:rFonts w:ascii="Calibri" w:eastAsia="Helvetica" w:hAnsi="Calibri" w:cs="Helvetica"/>
          <w:szCs w:val="24"/>
          <w:lang w:eastAsia="en-US"/>
        </w:rPr>
        <w:t>’</w:t>
      </w:r>
      <w:r w:rsidR="00EF782F">
        <w:rPr>
          <w:rFonts w:ascii="Calibri" w:eastAsia="Helvetica" w:hAnsi="Calibri" w:cs="Helvetica"/>
          <w:szCs w:val="24"/>
          <w:lang w:eastAsia="en-US"/>
        </w:rPr>
        <w:t>s</w:t>
      </w:r>
      <w:r w:rsidR="008B529B" w:rsidRPr="006726BD">
        <w:rPr>
          <w:rFonts w:ascii="Calibri" w:eastAsia="Helvetica" w:hAnsi="Calibri" w:cs="Helvetica"/>
          <w:szCs w:val="24"/>
          <w:lang w:eastAsia="en-US"/>
        </w:rPr>
        <w:t xml:space="preserve"> </w:t>
      </w:r>
      <w:r w:rsidR="008B529B" w:rsidRPr="006726BD">
        <w:rPr>
          <w:rFonts w:ascii="Calibri" w:eastAsia="Helvetica" w:hAnsi="Calibri" w:cs="Helvetica"/>
          <w:b/>
          <w:bCs/>
          <w:szCs w:val="24"/>
          <w:lang w:eastAsia="en-US"/>
        </w:rPr>
        <w:t>Steering Committee</w:t>
      </w:r>
      <w:r w:rsidR="008B529B" w:rsidRPr="006726BD">
        <w:rPr>
          <w:rFonts w:ascii="Calibri" w:eastAsia="Helvetica" w:hAnsi="Calibri" w:cs="Helvetica"/>
          <w:szCs w:val="24"/>
          <w:lang w:eastAsia="en-US"/>
        </w:rPr>
        <w:t xml:space="preserve"> would have </w:t>
      </w:r>
      <w:r w:rsidR="00A9623D">
        <w:rPr>
          <w:rFonts w:ascii="Calibri" w:eastAsia="Helvetica" w:hAnsi="Calibri" w:cs="Helvetica"/>
          <w:szCs w:val="24"/>
          <w:lang w:eastAsia="en-US"/>
        </w:rPr>
        <w:t>senior</w:t>
      </w:r>
      <w:r w:rsidR="008B529B" w:rsidRPr="006726BD">
        <w:rPr>
          <w:rFonts w:ascii="Calibri" w:eastAsia="Helvetica" w:hAnsi="Calibri" w:cs="Helvetica"/>
          <w:szCs w:val="24"/>
          <w:lang w:eastAsia="en-US"/>
        </w:rPr>
        <w:t xml:space="preserve"> political representation from key constituencies. This body would set the direction for </w:t>
      </w:r>
      <w:r w:rsidR="00692734" w:rsidRPr="00E80CD3">
        <w:rPr>
          <w:rFonts w:ascii="Calibri" w:eastAsia="Helvetica" w:hAnsi="Calibri" w:cs="Helvetica"/>
          <w:szCs w:val="24"/>
          <w:lang w:val="en-US" w:eastAsia="en-US"/>
        </w:rPr>
        <w:t xml:space="preserve">UHC </w:t>
      </w:r>
      <w:r w:rsidR="00692734">
        <w:rPr>
          <w:rFonts w:ascii="Calibri" w:eastAsia="Helvetica" w:hAnsi="Calibri" w:cs="Helvetica"/>
          <w:szCs w:val="24"/>
          <w:lang w:val="en-US" w:eastAsia="en-US"/>
        </w:rPr>
        <w:t xml:space="preserve">2030 </w:t>
      </w:r>
      <w:r w:rsidR="008B529B" w:rsidRPr="006726BD">
        <w:rPr>
          <w:rFonts w:ascii="Calibri" w:eastAsia="Helvetica" w:hAnsi="Calibri" w:cs="Helvetica"/>
          <w:szCs w:val="24"/>
          <w:lang w:eastAsia="en-US"/>
        </w:rPr>
        <w:t xml:space="preserve">and </w:t>
      </w:r>
      <w:r w:rsidR="00180CCA">
        <w:rPr>
          <w:rFonts w:ascii="Calibri" w:eastAsia="Helvetica" w:hAnsi="Calibri" w:cs="Helvetica"/>
          <w:szCs w:val="24"/>
          <w:lang w:eastAsia="en-US"/>
        </w:rPr>
        <w:t>agree on</w:t>
      </w:r>
      <w:r w:rsidR="00180CCA" w:rsidRPr="006726BD">
        <w:rPr>
          <w:rFonts w:ascii="Calibri" w:eastAsia="Helvetica" w:hAnsi="Calibri" w:cs="Helvetica"/>
          <w:szCs w:val="24"/>
          <w:lang w:eastAsia="en-US"/>
        </w:rPr>
        <w:t xml:space="preserve"> </w:t>
      </w:r>
      <w:r w:rsidR="00DC5CAE">
        <w:rPr>
          <w:rFonts w:ascii="Calibri" w:eastAsia="Helvetica" w:hAnsi="Calibri" w:cs="Helvetica"/>
          <w:szCs w:val="24"/>
          <w:lang w:eastAsia="en-US"/>
        </w:rPr>
        <w:t>its</w:t>
      </w:r>
      <w:r w:rsidR="00DC5CAE" w:rsidRPr="006726BD">
        <w:rPr>
          <w:rFonts w:ascii="Calibri" w:eastAsia="Helvetica" w:hAnsi="Calibri" w:cs="Helvetica"/>
          <w:szCs w:val="24"/>
          <w:lang w:eastAsia="en-US"/>
        </w:rPr>
        <w:t xml:space="preserve"> </w:t>
      </w:r>
      <w:r w:rsidR="00DC5CAE">
        <w:rPr>
          <w:rFonts w:ascii="Calibri" w:eastAsia="Helvetica" w:hAnsi="Calibri" w:cs="Helvetica"/>
          <w:szCs w:val="24"/>
          <w:lang w:eastAsia="en-US"/>
        </w:rPr>
        <w:t xml:space="preserve">strategy, </w:t>
      </w:r>
      <w:r w:rsidR="008B529B" w:rsidRPr="006726BD">
        <w:rPr>
          <w:rFonts w:ascii="Calibri" w:eastAsia="Helvetica" w:hAnsi="Calibri" w:cs="Helvetica"/>
          <w:szCs w:val="24"/>
          <w:lang w:eastAsia="en-US"/>
        </w:rPr>
        <w:t xml:space="preserve">work plan and budget. </w:t>
      </w:r>
      <w:r w:rsidR="006726BD" w:rsidRPr="00F101F4">
        <w:rPr>
          <w:rFonts w:ascii="Calibri" w:eastAsia="Helvetica" w:hAnsi="Calibri" w:cs="Helvetica"/>
          <w:szCs w:val="24"/>
          <w:lang w:eastAsia="en-US"/>
        </w:rPr>
        <w:t xml:space="preserve">Like the IHP+ Steering Committee, </w:t>
      </w:r>
      <w:r w:rsidR="00692734">
        <w:rPr>
          <w:rFonts w:ascii="Calibri" w:eastAsia="Helvetica" w:hAnsi="Calibri" w:cs="Helvetica"/>
          <w:szCs w:val="24"/>
          <w:lang w:eastAsia="en-US"/>
        </w:rPr>
        <w:t>the UHC 2030’</w:t>
      </w:r>
      <w:r w:rsidR="00EF782F">
        <w:rPr>
          <w:rFonts w:ascii="Calibri" w:eastAsia="Helvetica" w:hAnsi="Calibri" w:cs="Helvetica"/>
          <w:szCs w:val="24"/>
          <w:lang w:eastAsia="en-US"/>
        </w:rPr>
        <w:t>s</w:t>
      </w:r>
      <w:r w:rsidR="006726BD" w:rsidRPr="00F101F4">
        <w:rPr>
          <w:rFonts w:ascii="Calibri" w:eastAsia="Helvetica" w:hAnsi="Calibri" w:cs="Helvetica"/>
          <w:szCs w:val="24"/>
          <w:lang w:eastAsia="en-US"/>
        </w:rPr>
        <w:t xml:space="preserve"> Steering Committee </w:t>
      </w:r>
      <w:r w:rsidR="008B529B" w:rsidRPr="006726BD">
        <w:rPr>
          <w:rFonts w:ascii="Calibri" w:eastAsia="Helvetica" w:hAnsi="Calibri" w:cs="Helvetica"/>
          <w:szCs w:val="24"/>
          <w:lang w:eastAsia="en-US"/>
        </w:rPr>
        <w:t>could meet twice a year</w:t>
      </w:r>
      <w:r w:rsidR="006726BD" w:rsidRPr="00F101F4">
        <w:rPr>
          <w:rFonts w:ascii="Calibri" w:eastAsia="Helvetica" w:hAnsi="Calibri" w:cs="Helvetica"/>
          <w:szCs w:val="24"/>
          <w:lang w:eastAsia="en-US"/>
        </w:rPr>
        <w:t>.</w:t>
      </w:r>
    </w:p>
    <w:p w:rsidR="008B529B" w:rsidRPr="008B529B" w:rsidRDefault="00B32AFF" w:rsidP="00581C2E">
      <w:pPr>
        <w:widowControl w:val="0"/>
        <w:autoSpaceDE w:val="0"/>
        <w:autoSpaceDN w:val="0"/>
        <w:adjustRightInd w:val="0"/>
        <w:spacing w:after="240" w:line="240" w:lineRule="auto"/>
        <w:rPr>
          <w:rFonts w:ascii="Calibri" w:eastAsia="Arial Unicode MS" w:hAnsi="Calibri" w:cs="Calibri"/>
          <w:szCs w:val="30"/>
          <w:bdr w:val="nil"/>
          <w:lang w:val="en-US" w:eastAsia="en-US"/>
        </w:rPr>
      </w:pPr>
      <w:r>
        <w:rPr>
          <w:rFonts w:ascii="Calibri" w:eastAsia="Arial Unicode MS" w:hAnsi="Calibri" w:cs="Calibri"/>
          <w:szCs w:val="30"/>
          <w:bdr w:val="nil"/>
          <w:lang w:val="en-US" w:eastAsia="en-US"/>
        </w:rPr>
        <w:t>In addition</w:t>
      </w:r>
      <w:r w:rsidR="008B529B" w:rsidRPr="008B529B">
        <w:rPr>
          <w:rFonts w:ascii="Calibri" w:eastAsia="Arial Unicode MS" w:hAnsi="Calibri" w:cs="Calibri"/>
          <w:szCs w:val="30"/>
          <w:bdr w:val="nil"/>
          <w:lang w:val="en-US" w:eastAsia="en-US"/>
        </w:rPr>
        <w:t>, UHC 2030 will maintain active communication with global leadership and governing bodies</w:t>
      </w:r>
      <w:r w:rsidR="005D4B36">
        <w:rPr>
          <w:rFonts w:ascii="Calibri" w:eastAsia="Arial Unicode MS" w:hAnsi="Calibri" w:cs="Calibri"/>
          <w:szCs w:val="30"/>
          <w:bdr w:val="nil"/>
          <w:lang w:val="en-US" w:eastAsia="en-US"/>
        </w:rPr>
        <w:t xml:space="preserve"> </w:t>
      </w:r>
      <w:r w:rsidR="005D4B36" w:rsidRPr="008B529B">
        <w:rPr>
          <w:rFonts w:ascii="Calibri" w:eastAsia="Arial Unicode MS" w:hAnsi="Calibri" w:cs="Calibri"/>
          <w:szCs w:val="30"/>
          <w:bdr w:val="nil"/>
          <w:lang w:val="en-US" w:eastAsia="en-US"/>
        </w:rPr>
        <w:t>of member states such as the World Health Assembly</w:t>
      </w:r>
      <w:r w:rsidR="00446D02">
        <w:rPr>
          <w:rFonts w:ascii="Calibri" w:eastAsia="Arial Unicode MS" w:hAnsi="Calibri" w:cs="Calibri"/>
          <w:szCs w:val="30"/>
          <w:bdr w:val="nil"/>
          <w:lang w:val="en-US" w:eastAsia="en-US"/>
        </w:rPr>
        <w:t xml:space="preserve">, </w:t>
      </w:r>
      <w:r w:rsidR="002540CF">
        <w:rPr>
          <w:rFonts w:ascii="Calibri" w:eastAsia="Arial Unicode MS" w:hAnsi="Calibri" w:cs="Calibri"/>
          <w:szCs w:val="30"/>
          <w:bdr w:val="nil"/>
          <w:lang w:val="en-US" w:eastAsia="en-US"/>
        </w:rPr>
        <w:t>the</w:t>
      </w:r>
      <w:r w:rsidR="005D4B36" w:rsidRPr="008B529B">
        <w:rPr>
          <w:rFonts w:ascii="Calibri" w:eastAsia="Arial Unicode MS" w:hAnsi="Calibri" w:cs="Calibri"/>
          <w:szCs w:val="30"/>
          <w:bdr w:val="nil"/>
          <w:lang w:val="en-US" w:eastAsia="en-US"/>
        </w:rPr>
        <w:t xml:space="preserve"> UN General Assembly</w:t>
      </w:r>
      <w:r w:rsidR="00446D02">
        <w:rPr>
          <w:rFonts w:ascii="Calibri" w:eastAsia="Arial Unicode MS" w:hAnsi="Calibri" w:cs="Calibri"/>
          <w:szCs w:val="30"/>
          <w:bdr w:val="nil"/>
          <w:lang w:val="en-US" w:eastAsia="en-US"/>
        </w:rPr>
        <w:t xml:space="preserve"> and </w:t>
      </w:r>
      <w:r w:rsidR="005D4B36">
        <w:rPr>
          <w:rFonts w:ascii="Calibri" w:eastAsia="Arial Unicode MS" w:hAnsi="Calibri" w:cs="Calibri"/>
          <w:szCs w:val="30"/>
          <w:bdr w:val="nil"/>
          <w:lang w:val="en-US" w:eastAsia="en-US"/>
        </w:rPr>
        <w:t>particularly the</w:t>
      </w:r>
      <w:r w:rsidR="008400A4">
        <w:rPr>
          <w:rFonts w:ascii="Calibri" w:eastAsia="Arial Unicode MS" w:hAnsi="Calibri" w:cs="Calibri"/>
          <w:szCs w:val="30"/>
          <w:bdr w:val="nil"/>
          <w:lang w:val="en-US" w:eastAsia="en-US"/>
        </w:rPr>
        <w:t xml:space="preserve"> </w:t>
      </w:r>
      <w:r w:rsidR="00AB20D8">
        <w:rPr>
          <w:rFonts w:ascii="Calibri" w:eastAsia="Arial Unicode MS" w:hAnsi="Calibri" w:cs="Calibri"/>
          <w:szCs w:val="30"/>
          <w:bdr w:val="nil"/>
          <w:lang w:val="en-US" w:eastAsia="en-US"/>
        </w:rPr>
        <w:t xml:space="preserve">High-level Political Forum on Sustainable Development, </w:t>
      </w:r>
      <w:r w:rsidR="00446D02">
        <w:rPr>
          <w:rFonts w:ascii="Calibri" w:eastAsia="Arial Unicode MS" w:hAnsi="Calibri" w:cs="Calibri"/>
          <w:szCs w:val="30"/>
          <w:bdr w:val="nil"/>
          <w:lang w:val="en-US" w:eastAsia="en-US"/>
        </w:rPr>
        <w:t xml:space="preserve">which is </w:t>
      </w:r>
      <w:r w:rsidR="00AB20D8">
        <w:rPr>
          <w:rFonts w:ascii="Calibri" w:eastAsia="Arial Unicode MS" w:hAnsi="Calibri" w:cs="Calibri"/>
          <w:szCs w:val="30"/>
          <w:bdr w:val="nil"/>
          <w:lang w:val="en-US" w:eastAsia="en-US"/>
        </w:rPr>
        <w:t>the UN central platform for follow-up and review on the 2030 Agenda for Sustainable Development</w:t>
      </w:r>
      <w:r w:rsidR="008B529B" w:rsidRPr="008B529B">
        <w:rPr>
          <w:rFonts w:ascii="Calibri" w:eastAsia="Arial Unicode MS" w:hAnsi="Calibri" w:cs="Calibri"/>
          <w:szCs w:val="30"/>
          <w:bdr w:val="nil"/>
          <w:lang w:val="en-US" w:eastAsia="en-US"/>
        </w:rPr>
        <w:t xml:space="preserve">. </w:t>
      </w:r>
      <w:r w:rsidR="00A21DAA">
        <w:rPr>
          <w:rFonts w:ascii="Calibri" w:eastAsia="Arial Unicode MS" w:hAnsi="Calibri" w:cs="Calibri"/>
          <w:szCs w:val="30"/>
          <w:bdr w:val="nil"/>
          <w:lang w:val="en-US" w:eastAsia="en-US"/>
        </w:rPr>
        <w:t>UHC 2030 would continue to leverage</w:t>
      </w:r>
      <w:r w:rsidR="008400A4">
        <w:rPr>
          <w:rFonts w:ascii="Calibri" w:eastAsia="Arial Unicode MS" w:hAnsi="Calibri" w:cs="Calibri"/>
          <w:szCs w:val="30"/>
          <w:bdr w:val="nil"/>
          <w:lang w:val="en-US" w:eastAsia="en-US"/>
        </w:rPr>
        <w:t xml:space="preserve"> t</w:t>
      </w:r>
      <w:r w:rsidR="008B529B" w:rsidRPr="008B529B">
        <w:rPr>
          <w:rFonts w:ascii="Calibri" w:eastAsia="Arial Unicode MS" w:hAnsi="Calibri" w:cs="Calibri"/>
          <w:szCs w:val="30"/>
          <w:bdr w:val="nil"/>
          <w:lang w:val="en-US" w:eastAsia="en-US"/>
        </w:rPr>
        <w:t xml:space="preserve">he </w:t>
      </w:r>
      <w:r w:rsidR="008B529B" w:rsidRPr="008400A4">
        <w:rPr>
          <w:rFonts w:ascii="Calibri" w:eastAsia="Arial Unicode MS" w:hAnsi="Calibri" w:cs="Calibri"/>
          <w:szCs w:val="30"/>
          <w:bdr w:val="nil"/>
          <w:lang w:val="en-US" w:eastAsia="en-US"/>
        </w:rPr>
        <w:t xml:space="preserve">Global Health Agency Leaders </w:t>
      </w:r>
      <w:r w:rsidR="008B529B" w:rsidRPr="008B529B">
        <w:rPr>
          <w:rFonts w:ascii="Calibri" w:eastAsia="Arial Unicode MS" w:hAnsi="Calibri" w:cs="Calibri"/>
          <w:szCs w:val="30"/>
          <w:bdr w:val="nil"/>
          <w:lang w:val="en-US" w:eastAsia="en-US"/>
        </w:rPr>
        <w:t>meetings</w:t>
      </w:r>
      <w:r w:rsidR="008B529B" w:rsidRPr="006A5A66">
        <w:rPr>
          <w:rFonts w:ascii="Calibri" w:eastAsia="Arial Unicode MS" w:hAnsi="Calibri" w:cs="Calibri"/>
          <w:szCs w:val="30"/>
          <w:bdr w:val="nil"/>
          <w:lang w:val="en-US" w:eastAsia="en-US"/>
        </w:rPr>
        <w:t xml:space="preserve">. </w:t>
      </w:r>
    </w:p>
    <w:p w:rsidR="001810A7" w:rsidRDefault="00327DAA" w:rsidP="002540CF">
      <w:pPr>
        <w:spacing w:after="0" w:line="240" w:lineRule="auto"/>
        <w:rPr>
          <w:rFonts w:ascii="Calibri" w:eastAsia="Arial Unicode MS" w:hAnsi="Calibri" w:cs="Calibri"/>
          <w:szCs w:val="30"/>
          <w:bdr w:val="nil"/>
          <w:lang w:val="en-US" w:eastAsia="en-US"/>
        </w:rPr>
      </w:pPr>
      <w:r>
        <w:rPr>
          <w:rFonts w:ascii="Calibri" w:eastAsia="Helvetica" w:hAnsi="Calibri" w:cs="Helvetica"/>
          <w:szCs w:val="24"/>
          <w:lang w:eastAsia="en-US"/>
        </w:rPr>
        <w:t xml:space="preserve">A </w:t>
      </w:r>
      <w:r w:rsidRPr="000C13E3">
        <w:rPr>
          <w:rFonts w:ascii="Calibri" w:eastAsia="Helvetica" w:hAnsi="Calibri" w:cs="Helvetica"/>
          <w:b/>
          <w:szCs w:val="24"/>
          <w:lang w:eastAsia="en-US"/>
        </w:rPr>
        <w:t>Secretariat</w:t>
      </w:r>
      <w:r>
        <w:rPr>
          <w:rFonts w:ascii="Calibri" w:eastAsia="Helvetica" w:hAnsi="Calibri" w:cs="Helvetica"/>
          <w:szCs w:val="24"/>
          <w:lang w:eastAsia="en-US"/>
        </w:rPr>
        <w:t xml:space="preserve"> will be responsible for the </w:t>
      </w:r>
      <w:r w:rsidR="000C13E3">
        <w:rPr>
          <w:rFonts w:ascii="Calibri" w:eastAsia="Helvetica" w:hAnsi="Calibri" w:cs="Helvetica"/>
          <w:szCs w:val="24"/>
          <w:lang w:eastAsia="en-US"/>
        </w:rPr>
        <w:t>day-to-day</w:t>
      </w:r>
      <w:r>
        <w:rPr>
          <w:rFonts w:ascii="Calibri" w:eastAsia="Helvetica" w:hAnsi="Calibri" w:cs="Helvetica"/>
          <w:szCs w:val="24"/>
          <w:lang w:eastAsia="en-US"/>
        </w:rPr>
        <w:t xml:space="preserve"> operational activities of</w:t>
      </w:r>
      <w:r w:rsidR="005E2B46" w:rsidRPr="005E2B46">
        <w:rPr>
          <w:rFonts w:ascii="Calibri" w:eastAsia="Helvetica" w:hAnsi="Calibri" w:cs="Helvetica"/>
          <w:szCs w:val="24"/>
          <w:lang w:val="en-US" w:eastAsia="en-US"/>
        </w:rPr>
        <w:t xml:space="preserve"> </w:t>
      </w:r>
      <w:r w:rsidR="005E2B46" w:rsidRPr="00E80CD3">
        <w:rPr>
          <w:rFonts w:ascii="Calibri" w:eastAsia="Helvetica" w:hAnsi="Calibri" w:cs="Helvetica"/>
          <w:szCs w:val="24"/>
          <w:lang w:val="en-US" w:eastAsia="en-US"/>
        </w:rPr>
        <w:t xml:space="preserve">UHC </w:t>
      </w:r>
      <w:r w:rsidR="005E2B46">
        <w:rPr>
          <w:rFonts w:ascii="Calibri" w:eastAsia="Helvetica" w:hAnsi="Calibri" w:cs="Helvetica"/>
          <w:szCs w:val="24"/>
          <w:lang w:val="en-US" w:eastAsia="en-US"/>
        </w:rPr>
        <w:t>2030</w:t>
      </w:r>
      <w:r w:rsidR="003C0DDA">
        <w:rPr>
          <w:rFonts w:ascii="Calibri" w:eastAsia="Helvetica" w:hAnsi="Calibri" w:cs="Helvetica"/>
          <w:szCs w:val="24"/>
          <w:lang w:eastAsia="en-US"/>
        </w:rPr>
        <w:t>,</w:t>
      </w:r>
      <w:r>
        <w:rPr>
          <w:rFonts w:ascii="Calibri" w:eastAsia="Helvetica" w:hAnsi="Calibri" w:cs="Helvetica"/>
          <w:szCs w:val="24"/>
          <w:lang w:eastAsia="en-US"/>
        </w:rPr>
        <w:t xml:space="preserve"> taking instructions from </w:t>
      </w:r>
      <w:r w:rsidR="006806DE">
        <w:rPr>
          <w:rFonts w:ascii="Calibri" w:eastAsia="Helvetica" w:hAnsi="Calibri" w:cs="Helvetica"/>
          <w:szCs w:val="24"/>
          <w:lang w:eastAsia="en-US"/>
        </w:rPr>
        <w:t xml:space="preserve">and reporting to </w:t>
      </w:r>
      <w:r>
        <w:rPr>
          <w:rFonts w:ascii="Calibri" w:eastAsia="Helvetica" w:hAnsi="Calibri" w:cs="Helvetica"/>
          <w:szCs w:val="24"/>
          <w:lang w:eastAsia="en-US"/>
        </w:rPr>
        <w:t xml:space="preserve">the Steering Committee.  </w:t>
      </w:r>
      <w:r w:rsidR="00E43EAC" w:rsidRPr="00E43EAC">
        <w:rPr>
          <w:rFonts w:ascii="Calibri" w:eastAsia="Helvetica" w:hAnsi="Calibri" w:cs="Helvetica"/>
          <w:szCs w:val="24"/>
          <w:lang w:eastAsia="en-US"/>
        </w:rPr>
        <w:t>The Secretariat of UHC 2030 would</w:t>
      </w:r>
      <w:r w:rsidR="00DC5CAE">
        <w:rPr>
          <w:rFonts w:ascii="Calibri" w:eastAsia="Helvetica" w:hAnsi="Calibri" w:cs="Helvetica"/>
          <w:szCs w:val="24"/>
          <w:lang w:eastAsia="en-US"/>
        </w:rPr>
        <w:t>, as the current IHP+ Core Team,</w:t>
      </w:r>
      <w:r w:rsidR="00E43EAC" w:rsidRPr="00E43EAC">
        <w:rPr>
          <w:rFonts w:ascii="Calibri" w:eastAsia="Helvetica" w:hAnsi="Calibri" w:cs="Helvetica"/>
          <w:szCs w:val="24"/>
          <w:lang w:eastAsia="en-US"/>
        </w:rPr>
        <w:t xml:space="preserve"> be co-lead by WHO and the World Bank</w:t>
      </w:r>
      <w:r w:rsidR="00345F81">
        <w:rPr>
          <w:rFonts w:ascii="Calibri" w:eastAsia="Helvetica" w:hAnsi="Calibri" w:cs="Helvetica"/>
          <w:szCs w:val="24"/>
          <w:lang w:eastAsia="en-US"/>
        </w:rPr>
        <w:t>, and co-located in the two institutions</w:t>
      </w:r>
      <w:r w:rsidR="00E43EAC" w:rsidRPr="00E43EAC">
        <w:rPr>
          <w:rFonts w:ascii="Calibri" w:eastAsia="Helvetica" w:hAnsi="Calibri" w:cs="Helvetica"/>
          <w:szCs w:val="24"/>
          <w:lang w:eastAsia="en-US"/>
        </w:rPr>
        <w:t>.  The IHP+ Core Team would evolve into the UHC 2030 Secretariat, with expanded staffing</w:t>
      </w:r>
      <w:r w:rsidR="001810A7">
        <w:rPr>
          <w:rFonts w:ascii="Calibri" w:eastAsia="Arial Unicode MS" w:hAnsi="Calibri" w:cs="Calibri"/>
          <w:szCs w:val="30"/>
          <w:bdr w:val="nil"/>
          <w:lang w:val="en-US" w:eastAsia="en-US"/>
        </w:rPr>
        <w:t xml:space="preserve">.  </w:t>
      </w:r>
    </w:p>
    <w:p w:rsidR="001810A7" w:rsidRDefault="001810A7" w:rsidP="00E96CB8">
      <w:pPr>
        <w:spacing w:after="0" w:line="240" w:lineRule="auto"/>
        <w:rPr>
          <w:rFonts w:ascii="Calibri" w:eastAsia="Arial Unicode MS" w:hAnsi="Calibri" w:cs="Calibri"/>
          <w:szCs w:val="30"/>
          <w:bdr w:val="nil"/>
          <w:lang w:val="en-US" w:eastAsia="en-US"/>
        </w:rPr>
      </w:pPr>
    </w:p>
    <w:p w:rsidR="001E3E22" w:rsidRDefault="001810A7" w:rsidP="003C0DDA">
      <w:pPr>
        <w:spacing w:after="0" w:line="240" w:lineRule="auto"/>
        <w:rPr>
          <w:rFonts w:ascii="Calibri" w:eastAsia="Arial Unicode MS" w:hAnsi="Calibri" w:cs="Calibri"/>
          <w:szCs w:val="30"/>
          <w:bdr w:val="nil"/>
          <w:lang w:val="en-US" w:eastAsia="en-US"/>
        </w:rPr>
      </w:pPr>
      <w:r>
        <w:rPr>
          <w:rFonts w:ascii="Calibri" w:eastAsia="Arial Unicode MS" w:hAnsi="Calibri" w:cs="Calibri"/>
          <w:szCs w:val="30"/>
          <w:bdr w:val="nil"/>
          <w:lang w:val="en-US" w:eastAsia="en-US"/>
        </w:rPr>
        <w:t xml:space="preserve">In view of </w:t>
      </w:r>
      <w:r w:rsidR="001C6B34">
        <w:rPr>
          <w:rFonts w:ascii="Calibri" w:eastAsia="Arial Unicode MS" w:hAnsi="Calibri" w:cs="Calibri"/>
          <w:szCs w:val="30"/>
          <w:bdr w:val="nil"/>
          <w:lang w:val="en-US" w:eastAsia="en-US"/>
        </w:rPr>
        <w:t xml:space="preserve">the </w:t>
      </w:r>
      <w:r>
        <w:rPr>
          <w:rFonts w:ascii="Calibri" w:eastAsia="Arial Unicode MS" w:hAnsi="Calibri" w:cs="Calibri"/>
          <w:szCs w:val="30"/>
          <w:bdr w:val="nil"/>
          <w:lang w:val="en-US" w:eastAsia="en-US"/>
        </w:rPr>
        <w:t xml:space="preserve">numerous other “secretariats” </w:t>
      </w:r>
      <w:r w:rsidR="00E96CB8">
        <w:rPr>
          <w:rFonts w:ascii="Calibri" w:eastAsia="Arial Unicode MS" w:hAnsi="Calibri" w:cs="Calibri"/>
          <w:szCs w:val="30"/>
          <w:bdr w:val="nil"/>
          <w:lang w:val="en-US" w:eastAsia="en-US"/>
        </w:rPr>
        <w:t xml:space="preserve">supporting </w:t>
      </w:r>
      <w:r w:rsidR="001C6B34">
        <w:rPr>
          <w:rFonts w:ascii="Calibri" w:eastAsia="Arial Unicode MS" w:hAnsi="Calibri" w:cs="Calibri"/>
          <w:szCs w:val="30"/>
          <w:bdr w:val="nil"/>
          <w:lang w:val="en-US" w:eastAsia="en-US"/>
        </w:rPr>
        <w:t>related health networks</w:t>
      </w:r>
      <w:r>
        <w:rPr>
          <w:rFonts w:ascii="Calibri" w:eastAsia="Arial Unicode MS" w:hAnsi="Calibri" w:cs="Calibri"/>
          <w:szCs w:val="30"/>
          <w:bdr w:val="nil"/>
          <w:lang w:val="en-US" w:eastAsia="en-US"/>
        </w:rPr>
        <w:t xml:space="preserve">, specific mechanisms such as shared staffing and </w:t>
      </w:r>
      <w:r w:rsidR="009030B2">
        <w:rPr>
          <w:rFonts w:ascii="Calibri" w:eastAsia="Arial Unicode MS" w:hAnsi="Calibri" w:cs="Calibri"/>
          <w:szCs w:val="30"/>
          <w:bdr w:val="nil"/>
          <w:lang w:val="en-US" w:eastAsia="en-US"/>
        </w:rPr>
        <w:t xml:space="preserve">coordinated </w:t>
      </w:r>
      <w:r>
        <w:rPr>
          <w:rFonts w:ascii="Calibri" w:eastAsia="Arial Unicode MS" w:hAnsi="Calibri" w:cs="Calibri"/>
          <w:szCs w:val="30"/>
          <w:bdr w:val="nil"/>
          <w:lang w:val="en-US" w:eastAsia="en-US"/>
        </w:rPr>
        <w:t xml:space="preserve">Steering Committee meetings </w:t>
      </w:r>
      <w:r w:rsidR="001C6B34">
        <w:rPr>
          <w:rFonts w:ascii="Calibri" w:eastAsia="Arial Unicode MS" w:hAnsi="Calibri" w:cs="Calibri"/>
          <w:szCs w:val="30"/>
          <w:bdr w:val="nil"/>
          <w:lang w:val="en-US" w:eastAsia="en-US"/>
        </w:rPr>
        <w:t>will be</w:t>
      </w:r>
      <w:r>
        <w:rPr>
          <w:rFonts w:ascii="Calibri" w:eastAsia="Arial Unicode MS" w:hAnsi="Calibri" w:cs="Calibri"/>
          <w:szCs w:val="30"/>
          <w:bdr w:val="nil"/>
          <w:lang w:val="en-US" w:eastAsia="en-US"/>
        </w:rPr>
        <w:t xml:space="preserve"> considered in order to </w:t>
      </w:r>
      <w:r w:rsidR="009F3743">
        <w:rPr>
          <w:rFonts w:ascii="Calibri" w:eastAsia="Arial Unicode MS" w:hAnsi="Calibri" w:cs="Calibri"/>
          <w:szCs w:val="30"/>
          <w:bdr w:val="nil"/>
          <w:lang w:val="en-US" w:eastAsia="en-US"/>
        </w:rPr>
        <w:t>align</w:t>
      </w:r>
      <w:r w:rsidR="00381B6F" w:rsidRPr="00B506F5">
        <w:rPr>
          <w:rFonts w:ascii="Calibri" w:eastAsia="Arial Unicode MS" w:hAnsi="Calibri" w:cs="Calibri"/>
          <w:szCs w:val="30"/>
          <w:bdr w:val="nil"/>
          <w:lang w:val="en-US" w:eastAsia="en-US"/>
        </w:rPr>
        <w:t xml:space="preserve"> work programs </w:t>
      </w:r>
      <w:r w:rsidR="00381B6F">
        <w:rPr>
          <w:rFonts w:ascii="Calibri" w:eastAsia="Arial Unicode MS" w:hAnsi="Calibri" w:cs="Calibri"/>
          <w:szCs w:val="30"/>
          <w:bdr w:val="nil"/>
          <w:lang w:val="en-US" w:eastAsia="en-US"/>
        </w:rPr>
        <w:t xml:space="preserve">and </w:t>
      </w:r>
      <w:r>
        <w:rPr>
          <w:rFonts w:ascii="Calibri" w:eastAsia="Arial Unicode MS" w:hAnsi="Calibri" w:cs="Calibri"/>
          <w:szCs w:val="30"/>
          <w:bdr w:val="nil"/>
          <w:lang w:val="en-US" w:eastAsia="en-US"/>
        </w:rPr>
        <w:t xml:space="preserve">avoid </w:t>
      </w:r>
      <w:r w:rsidR="00372FB8">
        <w:rPr>
          <w:rFonts w:ascii="Calibri" w:eastAsia="Arial Unicode MS" w:hAnsi="Calibri" w:cs="Calibri"/>
          <w:szCs w:val="30"/>
          <w:bdr w:val="nil"/>
          <w:lang w:val="en-US" w:eastAsia="en-US"/>
        </w:rPr>
        <w:t xml:space="preserve">the </w:t>
      </w:r>
      <w:r>
        <w:rPr>
          <w:rFonts w:ascii="Calibri" w:eastAsia="Arial Unicode MS" w:hAnsi="Calibri" w:cs="Calibri"/>
          <w:szCs w:val="30"/>
          <w:bdr w:val="nil"/>
          <w:lang w:val="en-US" w:eastAsia="en-US"/>
        </w:rPr>
        <w:t xml:space="preserve">unnecessary </w:t>
      </w:r>
      <w:r w:rsidR="00381B6F">
        <w:rPr>
          <w:rFonts w:ascii="Calibri" w:eastAsia="Arial Unicode MS" w:hAnsi="Calibri" w:cs="Calibri"/>
          <w:szCs w:val="30"/>
          <w:bdr w:val="nil"/>
          <w:lang w:val="en-US" w:eastAsia="en-US"/>
        </w:rPr>
        <w:t xml:space="preserve">proliferation of meetings and costs.  </w:t>
      </w:r>
    </w:p>
    <w:p w:rsidR="002033C0" w:rsidRDefault="002033C0" w:rsidP="003C0DDA">
      <w:pPr>
        <w:spacing w:after="0" w:line="240" w:lineRule="auto"/>
        <w:rPr>
          <w:rFonts w:ascii="Calibri" w:eastAsia="Arial Unicode MS" w:hAnsi="Calibri" w:cs="Calibri"/>
          <w:szCs w:val="30"/>
          <w:bdr w:val="nil"/>
          <w:lang w:val="en-US" w:eastAsia="en-US"/>
        </w:rPr>
      </w:pPr>
    </w:p>
    <w:p w:rsidR="000630E2" w:rsidRDefault="000630E2">
      <w:pPr>
        <w:rPr>
          <w:rFonts w:asciiTheme="majorHAnsi" w:eastAsia="Arial Unicode MS" w:hAnsiTheme="majorHAnsi" w:cs="Calibri"/>
          <w:b/>
          <w:color w:val="548DD4" w:themeColor="text2" w:themeTint="99"/>
          <w:sz w:val="26"/>
          <w:szCs w:val="26"/>
          <w:bdr w:val="nil"/>
          <w:lang w:val="en-US" w:eastAsia="en-US"/>
        </w:rPr>
      </w:pPr>
      <w:r>
        <w:rPr>
          <w:rFonts w:asciiTheme="majorHAnsi" w:eastAsia="Arial Unicode MS" w:hAnsiTheme="majorHAnsi" w:cs="Calibri"/>
          <w:b/>
          <w:color w:val="548DD4" w:themeColor="text2" w:themeTint="99"/>
          <w:sz w:val="26"/>
          <w:szCs w:val="26"/>
          <w:bdr w:val="nil"/>
          <w:lang w:val="en-US" w:eastAsia="en-US"/>
        </w:rPr>
        <w:br w:type="page"/>
      </w:r>
    </w:p>
    <w:p w:rsidR="00630370" w:rsidRPr="00364C5A" w:rsidRDefault="001E3E22" w:rsidP="00364C5A">
      <w:pPr>
        <w:spacing w:before="120" w:after="240" w:line="240" w:lineRule="auto"/>
        <w:rPr>
          <w:rFonts w:asciiTheme="majorHAnsi" w:eastAsia="Arial Unicode MS" w:hAnsiTheme="majorHAnsi" w:cs="Calibri"/>
          <w:b/>
          <w:color w:val="548DD4" w:themeColor="text2" w:themeTint="99"/>
          <w:sz w:val="26"/>
          <w:szCs w:val="26"/>
          <w:bdr w:val="nil"/>
          <w:lang w:val="en-US" w:eastAsia="en-US"/>
        </w:rPr>
      </w:pPr>
      <w:r w:rsidRPr="002144A8">
        <w:rPr>
          <w:rFonts w:asciiTheme="majorHAnsi" w:eastAsia="Arial Unicode MS" w:hAnsiTheme="majorHAnsi" w:cs="Calibri"/>
          <w:b/>
          <w:color w:val="548DD4" w:themeColor="text2" w:themeTint="99"/>
          <w:sz w:val="26"/>
          <w:szCs w:val="26"/>
          <w:bdr w:val="nil"/>
          <w:lang w:val="en-US" w:eastAsia="en-US"/>
        </w:rPr>
        <w:t xml:space="preserve">What </w:t>
      </w:r>
      <w:r w:rsidRPr="005C4F1C">
        <w:rPr>
          <w:rFonts w:ascii="Cambria" w:eastAsia="Helvetica" w:hAnsi="Cambria" w:cs="Helvetica"/>
          <w:b/>
          <w:bCs/>
          <w:color w:val="499BC9"/>
          <w:sz w:val="26"/>
          <w:szCs w:val="32"/>
          <w:lang w:eastAsia="en-US"/>
        </w:rPr>
        <w:t>woul</w:t>
      </w:r>
      <w:r w:rsidR="002144A8" w:rsidRPr="005C4F1C">
        <w:rPr>
          <w:rFonts w:ascii="Cambria" w:eastAsia="Helvetica" w:hAnsi="Cambria" w:cs="Helvetica"/>
          <w:b/>
          <w:bCs/>
          <w:color w:val="499BC9"/>
          <w:sz w:val="26"/>
          <w:szCs w:val="32"/>
          <w:lang w:eastAsia="en-US"/>
        </w:rPr>
        <w:t>d</w:t>
      </w:r>
      <w:r w:rsidR="002144A8" w:rsidRPr="002144A8">
        <w:rPr>
          <w:rFonts w:asciiTheme="majorHAnsi" w:eastAsia="Arial Unicode MS" w:hAnsiTheme="majorHAnsi" w:cs="Calibri"/>
          <w:b/>
          <w:color w:val="548DD4" w:themeColor="text2" w:themeTint="99"/>
          <w:sz w:val="26"/>
          <w:szCs w:val="26"/>
          <w:bdr w:val="nil"/>
          <w:lang w:val="en-US" w:eastAsia="en-US"/>
        </w:rPr>
        <w:t xml:space="preserve"> UHC 2030 success look like?</w:t>
      </w:r>
      <w:r w:rsidR="00381B6F" w:rsidRPr="002144A8">
        <w:rPr>
          <w:rFonts w:asciiTheme="majorHAnsi" w:eastAsia="Arial Unicode MS" w:hAnsiTheme="majorHAnsi" w:cs="Calibri"/>
          <w:b/>
          <w:color w:val="548DD4" w:themeColor="text2" w:themeTint="99"/>
          <w:sz w:val="26"/>
          <w:szCs w:val="26"/>
          <w:bdr w:val="nil"/>
          <w:lang w:val="en-US" w:eastAsia="en-US"/>
        </w:rPr>
        <w:t xml:space="preserve">  </w:t>
      </w:r>
      <w:bookmarkStart w:id="4" w:name="_Ref310768170"/>
    </w:p>
    <w:p w:rsidR="001927AB" w:rsidRDefault="00AA6CA5" w:rsidP="00630370">
      <w:pPr>
        <w:rPr>
          <w:color w:val="000000"/>
          <w:bdr w:val="none" w:sz="0" w:space="0" w:color="auto" w:frame="1"/>
        </w:rPr>
      </w:pPr>
      <w:r w:rsidRPr="000630E2">
        <w:rPr>
          <w:b/>
          <w:bCs/>
          <w:color w:val="000000"/>
          <w:bdr w:val="none" w:sz="0" w:space="0" w:color="auto" w:frame="1"/>
        </w:rPr>
        <w:t>Longer</w:t>
      </w:r>
      <w:r w:rsidR="006B61F4">
        <w:rPr>
          <w:b/>
          <w:bCs/>
          <w:color w:val="000000"/>
          <w:bdr w:val="none" w:sz="0" w:space="0" w:color="auto" w:frame="1"/>
        </w:rPr>
        <w:t>-</w:t>
      </w:r>
      <w:r w:rsidRPr="000630E2">
        <w:rPr>
          <w:b/>
          <w:bCs/>
          <w:color w:val="000000"/>
          <w:bdr w:val="none" w:sz="0" w:space="0" w:color="auto" w:frame="1"/>
        </w:rPr>
        <w:t>term</w:t>
      </w:r>
      <w:r>
        <w:rPr>
          <w:color w:val="000000"/>
          <w:bdr w:val="none" w:sz="0" w:space="0" w:color="auto" w:frame="1"/>
        </w:rPr>
        <w:t xml:space="preserve"> s</w:t>
      </w:r>
      <w:r w:rsidR="001927AB">
        <w:rPr>
          <w:color w:val="000000"/>
          <w:bdr w:val="none" w:sz="0" w:space="0" w:color="auto" w:frame="1"/>
        </w:rPr>
        <w:t>uccess for UHC 2030 would entail:</w:t>
      </w:r>
    </w:p>
    <w:p w:rsidR="007A37BD" w:rsidRPr="00364C5A" w:rsidRDefault="001927AB" w:rsidP="000630E2">
      <w:pPr>
        <w:pStyle w:val="ListParagraph"/>
        <w:numPr>
          <w:ilvl w:val="0"/>
          <w:numId w:val="25"/>
        </w:numPr>
        <w:spacing w:line="240" w:lineRule="auto"/>
        <w:rPr>
          <w:color w:val="000000"/>
          <w:bdr w:val="none" w:sz="0" w:space="0" w:color="auto" w:frame="1"/>
        </w:rPr>
      </w:pPr>
      <w:r>
        <w:t>A</w:t>
      </w:r>
      <w:r w:rsidR="00364C5A">
        <w:t xml:space="preserve"> </w:t>
      </w:r>
      <w:r w:rsidR="00630370">
        <w:t xml:space="preserve">shared vision of HSS for UHC with broadly recognised principles for sufficient, appropriate and well-coordinated resource allocation to HSS </w:t>
      </w:r>
    </w:p>
    <w:p w:rsidR="00630370" w:rsidRPr="00364C5A" w:rsidRDefault="001927AB" w:rsidP="000630E2">
      <w:pPr>
        <w:pStyle w:val="ListParagraph"/>
        <w:numPr>
          <w:ilvl w:val="0"/>
          <w:numId w:val="25"/>
        </w:numPr>
        <w:spacing w:line="240" w:lineRule="auto"/>
        <w:rPr>
          <w:color w:val="000000"/>
          <w:bdr w:val="none" w:sz="0" w:space="0" w:color="auto" w:frame="1"/>
        </w:rPr>
      </w:pPr>
      <w:r>
        <w:t>I</w:t>
      </w:r>
      <w:r w:rsidR="007A37BD">
        <w:t xml:space="preserve">mproved </w:t>
      </w:r>
      <w:r w:rsidR="00364C5A">
        <w:t>country-led coordination o</w:t>
      </w:r>
      <w:r w:rsidR="007A37BD">
        <w:t>f</w:t>
      </w:r>
      <w:r w:rsidR="00364C5A">
        <w:t xml:space="preserve"> health systems strengthening </w:t>
      </w:r>
      <w:r w:rsidR="007A37BD">
        <w:t>efforts in support of UHC</w:t>
      </w:r>
      <w:r w:rsidR="00364C5A">
        <w:t xml:space="preserve"> </w:t>
      </w:r>
      <w:r w:rsidR="007A37BD">
        <w:t>an</w:t>
      </w:r>
      <w:r w:rsidR="00364C5A">
        <w:t>d</w:t>
      </w:r>
      <w:r w:rsidR="007A37BD">
        <w:t xml:space="preserve"> integrated appro</w:t>
      </w:r>
      <w:r w:rsidR="00364C5A">
        <w:t xml:space="preserve">ach by development </w:t>
      </w:r>
      <w:r w:rsidR="007A37BD">
        <w:t>partners</w:t>
      </w:r>
    </w:p>
    <w:p w:rsidR="00AB10B1" w:rsidRPr="00364C5A" w:rsidRDefault="001927AB" w:rsidP="000630E2">
      <w:pPr>
        <w:pStyle w:val="ListParagraph"/>
        <w:numPr>
          <w:ilvl w:val="0"/>
          <w:numId w:val="25"/>
        </w:numPr>
        <w:spacing w:after="0" w:line="240" w:lineRule="auto"/>
        <w:ind w:left="714" w:hanging="357"/>
        <w:contextualSpacing w:val="0"/>
        <w:rPr>
          <w:rFonts w:eastAsia="Arial Unicode MS" w:cs="Calibri"/>
          <w:b/>
          <w:bdr w:val="nil"/>
          <w:lang w:val="en-US" w:eastAsia="en-US"/>
        </w:rPr>
      </w:pPr>
      <w:r>
        <w:rPr>
          <w:bdr w:val="none" w:sz="0" w:space="0" w:color="auto" w:frame="1"/>
          <w:lang w:val="en-US" w:eastAsia="en-US"/>
        </w:rPr>
        <w:t>I</w:t>
      </w:r>
      <w:r w:rsidRPr="00364C5A">
        <w:rPr>
          <w:bdr w:val="none" w:sz="0" w:space="0" w:color="auto" w:frame="1"/>
          <w:lang w:val="en-US" w:eastAsia="en-US"/>
        </w:rPr>
        <w:t xml:space="preserve">ncreased </w:t>
      </w:r>
      <w:r w:rsidR="007A37BD" w:rsidRPr="00364C5A">
        <w:rPr>
          <w:bdr w:val="none" w:sz="0" w:space="0" w:color="auto" w:frame="1"/>
          <w:lang w:val="en-US" w:eastAsia="en-US"/>
        </w:rPr>
        <w:t>focus on result</w:t>
      </w:r>
      <w:r w:rsidR="003537B0">
        <w:rPr>
          <w:bdr w:val="none" w:sz="0" w:space="0" w:color="auto" w:frame="1"/>
          <w:lang w:val="en-US" w:eastAsia="en-US"/>
        </w:rPr>
        <w:t>s</w:t>
      </w:r>
      <w:r w:rsidR="007A37BD" w:rsidRPr="00364C5A">
        <w:rPr>
          <w:bdr w:val="none" w:sz="0" w:space="0" w:color="auto" w:frame="1"/>
          <w:lang w:val="en-US" w:eastAsia="en-US"/>
        </w:rPr>
        <w:t xml:space="preserve"> and measurement of progress</w:t>
      </w:r>
      <w:r w:rsidR="00AA6CA5">
        <w:rPr>
          <w:bdr w:val="none" w:sz="0" w:space="0" w:color="auto" w:frame="1"/>
          <w:lang w:val="en-US" w:eastAsia="en-US"/>
        </w:rPr>
        <w:t xml:space="preserve"> </w:t>
      </w:r>
      <w:r w:rsidR="00AA6CA5">
        <w:rPr>
          <w:bdr w:val="none" w:sz="0" w:space="0" w:color="auto" w:frame="1"/>
          <w:lang w:eastAsia="en-US"/>
        </w:rPr>
        <w:t xml:space="preserve">to inform </w:t>
      </w:r>
      <w:r w:rsidR="00323365">
        <w:rPr>
          <w:bdr w:val="none" w:sz="0" w:space="0" w:color="auto" w:frame="1"/>
          <w:lang w:eastAsia="en-US"/>
        </w:rPr>
        <w:t xml:space="preserve">country-led </w:t>
      </w:r>
      <w:r w:rsidR="00AA6CA5">
        <w:rPr>
          <w:bdr w:val="none" w:sz="0" w:space="0" w:color="auto" w:frame="1"/>
          <w:lang w:eastAsia="en-US"/>
        </w:rPr>
        <w:t xml:space="preserve">multi-stakeholder review and remedial action for accelerated progress </w:t>
      </w:r>
      <w:r w:rsidR="007A37BD" w:rsidRPr="00364C5A">
        <w:rPr>
          <w:bdr w:val="none" w:sz="0" w:space="0" w:color="auto" w:frame="1"/>
          <w:lang w:val="en-US" w:eastAsia="en-US"/>
        </w:rPr>
        <w:t xml:space="preserve">towards </w:t>
      </w:r>
      <w:r w:rsidR="003E624F">
        <w:rPr>
          <w:bdr w:val="none" w:sz="0" w:space="0" w:color="auto" w:frame="1"/>
          <w:lang w:val="en-US" w:eastAsia="en-US"/>
        </w:rPr>
        <w:t>UHC</w:t>
      </w:r>
    </w:p>
    <w:p w:rsidR="00AB10B1" w:rsidRPr="000630E2" w:rsidRDefault="00AB10B1" w:rsidP="000630E2">
      <w:pPr>
        <w:pStyle w:val="ListParagraph"/>
        <w:numPr>
          <w:ilvl w:val="0"/>
          <w:numId w:val="25"/>
        </w:numPr>
        <w:spacing w:line="240" w:lineRule="auto"/>
        <w:contextualSpacing w:val="0"/>
        <w:rPr>
          <w:color w:val="000000"/>
          <w:bdr w:val="none" w:sz="0" w:space="0" w:color="auto" w:frame="1"/>
        </w:rPr>
      </w:pPr>
      <w:r>
        <w:t>Co</w:t>
      </w:r>
      <w:r w:rsidR="00364C5A">
        <w:t xml:space="preserve">nvergence </w:t>
      </w:r>
      <w:r w:rsidR="00630370">
        <w:t xml:space="preserve">towards a single </w:t>
      </w:r>
      <w:r w:rsidR="001927AB">
        <w:t xml:space="preserve">and strengthened </w:t>
      </w:r>
      <w:r w:rsidR="00630370">
        <w:t>accountability mechanism</w:t>
      </w:r>
      <w:r w:rsidR="006D1BAB">
        <w:t xml:space="preserve"> for progress towards UHC</w:t>
      </w:r>
      <w:r w:rsidR="00630370">
        <w:t>, linked to the UN established process for</w:t>
      </w:r>
      <w:r w:rsidR="001927AB">
        <w:t xml:space="preserve"> the</w:t>
      </w:r>
      <w:r w:rsidR="00630370">
        <w:t xml:space="preserve"> SDGs</w:t>
      </w:r>
      <w:r w:rsidR="00EF1E5C">
        <w:rPr>
          <w:color w:val="000000"/>
          <w:bdr w:val="none" w:sz="0" w:space="0" w:color="auto" w:frame="1"/>
        </w:rPr>
        <w:t xml:space="preserve">. </w:t>
      </w:r>
    </w:p>
    <w:p w:rsidR="001927AB" w:rsidRDefault="00BB6696" w:rsidP="000630E2">
      <w:pPr>
        <w:spacing w:line="240" w:lineRule="auto"/>
        <w:rPr>
          <w:color w:val="000000"/>
          <w:bdr w:val="none" w:sz="0" w:space="0" w:color="auto" w:frame="1"/>
        </w:rPr>
      </w:pPr>
      <w:r>
        <w:rPr>
          <w:color w:val="000000"/>
          <w:bdr w:val="none" w:sz="0" w:space="0" w:color="auto" w:frame="1"/>
        </w:rPr>
        <w:t xml:space="preserve">It </w:t>
      </w:r>
      <w:r w:rsidR="001927AB">
        <w:rPr>
          <w:color w:val="000000"/>
          <w:bdr w:val="none" w:sz="0" w:space="0" w:color="auto" w:frame="1"/>
        </w:rPr>
        <w:t>will be crucial to evaluate the added value of UHC 2030 in providing a platform for improved coordination of health systems strengthening, advocacy, knowledge sharing and accountability for UHC. To this effect, a results framework will be included in the updated work</w:t>
      </w:r>
      <w:r w:rsidR="00894B48">
        <w:rPr>
          <w:color w:val="000000"/>
          <w:bdr w:val="none" w:sz="0" w:space="0" w:color="auto" w:frame="1"/>
        </w:rPr>
        <w:t xml:space="preserve"> </w:t>
      </w:r>
      <w:r w:rsidR="001927AB">
        <w:rPr>
          <w:color w:val="000000"/>
          <w:bdr w:val="none" w:sz="0" w:space="0" w:color="auto" w:frame="1"/>
        </w:rPr>
        <w:t>plan for 2017</w:t>
      </w:r>
      <w:r w:rsidR="001927AB" w:rsidRPr="00364C5A">
        <w:rPr>
          <w:color w:val="000000"/>
          <w:bdr w:val="none" w:sz="0" w:space="0" w:color="auto" w:frame="1"/>
        </w:rPr>
        <w:t>.</w:t>
      </w:r>
      <w:r w:rsidR="001927AB">
        <w:rPr>
          <w:color w:val="000000"/>
          <w:bdr w:val="none" w:sz="0" w:space="0" w:color="auto" w:frame="1"/>
        </w:rPr>
        <w:t xml:space="preserve"> </w:t>
      </w:r>
      <w:r w:rsidR="001927AB" w:rsidRPr="000630E2">
        <w:rPr>
          <w:b/>
          <w:color w:val="000000"/>
          <w:bdr w:val="none" w:sz="0" w:space="0" w:color="auto" w:frame="1"/>
        </w:rPr>
        <w:t>Indicative milestones</w:t>
      </w:r>
      <w:r w:rsidR="002E40C7" w:rsidRPr="000630E2">
        <w:rPr>
          <w:b/>
          <w:color w:val="000000"/>
          <w:bdr w:val="none" w:sz="0" w:space="0" w:color="auto" w:frame="1"/>
        </w:rPr>
        <w:t xml:space="preserve"> </w:t>
      </w:r>
      <w:r w:rsidR="00323365" w:rsidRPr="000630E2">
        <w:rPr>
          <w:b/>
          <w:color w:val="000000"/>
          <w:bdr w:val="none" w:sz="0" w:space="0" w:color="auto" w:frame="1"/>
        </w:rPr>
        <w:t>for 2017</w:t>
      </w:r>
      <w:r w:rsidR="00323365">
        <w:rPr>
          <w:color w:val="000000"/>
          <w:bdr w:val="none" w:sz="0" w:space="0" w:color="auto" w:frame="1"/>
        </w:rPr>
        <w:t xml:space="preserve"> </w:t>
      </w:r>
      <w:r w:rsidR="002E40C7">
        <w:rPr>
          <w:color w:val="000000"/>
          <w:bdr w:val="none" w:sz="0" w:space="0" w:color="auto" w:frame="1"/>
        </w:rPr>
        <w:t>could</w:t>
      </w:r>
      <w:r w:rsidR="001927AB">
        <w:rPr>
          <w:color w:val="000000"/>
          <w:bdr w:val="none" w:sz="0" w:space="0" w:color="auto" w:frame="1"/>
        </w:rPr>
        <w:t xml:space="preserve"> include:</w:t>
      </w:r>
    </w:p>
    <w:p w:rsidR="00323365" w:rsidRPr="000630E2" w:rsidRDefault="00323365" w:rsidP="000630E2">
      <w:pPr>
        <w:pStyle w:val="ListParagraph"/>
        <w:numPr>
          <w:ilvl w:val="0"/>
          <w:numId w:val="25"/>
        </w:numPr>
        <w:spacing w:line="240" w:lineRule="auto"/>
        <w:rPr>
          <w:color w:val="000000"/>
          <w:bdr w:val="none" w:sz="0" w:space="0" w:color="auto" w:frame="1"/>
        </w:rPr>
      </w:pPr>
      <w:r w:rsidRPr="000463BC">
        <w:rPr>
          <w:color w:val="000000"/>
          <w:bdr w:val="none" w:sz="0" w:space="0" w:color="auto" w:frame="1"/>
        </w:rPr>
        <w:t xml:space="preserve">The UHC 2030 Global Compact is agreed, reflecting IHP+ behaviours and </w:t>
      </w:r>
      <w:r>
        <w:rPr>
          <w:color w:val="000000"/>
          <w:bdr w:val="none" w:sz="0" w:space="0" w:color="auto" w:frame="1"/>
        </w:rPr>
        <w:t xml:space="preserve">UHC 2030 </w:t>
      </w:r>
      <w:r w:rsidRPr="000463BC">
        <w:rPr>
          <w:color w:val="000000"/>
          <w:bdr w:val="none" w:sz="0" w:space="0" w:color="auto" w:frame="1"/>
        </w:rPr>
        <w:t>principles to guide accountability for progress in strengthening health systems towards UHC</w:t>
      </w:r>
    </w:p>
    <w:p w:rsidR="001927AB" w:rsidRPr="00A44D92" w:rsidRDefault="001927AB" w:rsidP="000630E2">
      <w:pPr>
        <w:pStyle w:val="ListParagraph"/>
        <w:numPr>
          <w:ilvl w:val="0"/>
          <w:numId w:val="25"/>
        </w:numPr>
        <w:spacing w:line="240" w:lineRule="auto"/>
        <w:rPr>
          <w:color w:val="000000"/>
          <w:bdr w:val="none" w:sz="0" w:space="0" w:color="auto" w:frame="1"/>
        </w:rPr>
      </w:pPr>
      <w:r>
        <w:t xml:space="preserve">Signatories to the UHC 2030 Global Compact include middle-income countries, civil society organisations and the private sector </w:t>
      </w:r>
    </w:p>
    <w:p w:rsidR="00DA77E4" w:rsidRPr="000463BC" w:rsidRDefault="00DA77E4" w:rsidP="000630E2">
      <w:pPr>
        <w:pStyle w:val="ListParagraph"/>
        <w:numPr>
          <w:ilvl w:val="0"/>
          <w:numId w:val="25"/>
        </w:numPr>
        <w:spacing w:line="240" w:lineRule="auto"/>
        <w:ind w:left="714" w:hanging="357"/>
        <w:rPr>
          <w:color w:val="000000"/>
          <w:bdr w:val="none" w:sz="0" w:space="0" w:color="auto" w:frame="1"/>
        </w:rPr>
      </w:pPr>
      <w:r>
        <w:t xml:space="preserve">A joint approach to </w:t>
      </w:r>
      <w:r w:rsidRPr="000463BC">
        <w:t>health system</w:t>
      </w:r>
      <w:r>
        <w:t>s performance</w:t>
      </w:r>
      <w:r w:rsidRPr="000463BC">
        <w:t xml:space="preserve"> assessment </w:t>
      </w:r>
      <w:r>
        <w:t>is developed and ready for use by countries</w:t>
      </w:r>
    </w:p>
    <w:p w:rsidR="00DA77E4" w:rsidRPr="00323365" w:rsidRDefault="00DA77E4" w:rsidP="000630E2">
      <w:pPr>
        <w:pStyle w:val="ListParagraph"/>
        <w:numPr>
          <w:ilvl w:val="0"/>
          <w:numId w:val="25"/>
        </w:numPr>
        <w:spacing w:line="240" w:lineRule="auto"/>
        <w:rPr>
          <w:color w:val="000000"/>
          <w:bdr w:val="none" w:sz="0" w:space="0" w:color="auto" w:frame="1"/>
        </w:rPr>
      </w:pPr>
      <w:r>
        <w:t>Documentation of lessons for harmonisation and the costs of fragmentation in transition planning is produced and a</w:t>
      </w:r>
      <w:r w:rsidRPr="000463BC">
        <w:t xml:space="preserve"> joint </w:t>
      </w:r>
      <w:r>
        <w:t xml:space="preserve">approach to </w:t>
      </w:r>
      <w:r w:rsidRPr="000463BC">
        <w:t xml:space="preserve">transition </w:t>
      </w:r>
      <w:r>
        <w:t xml:space="preserve">planning is agreed </w:t>
      </w:r>
    </w:p>
    <w:p w:rsidR="00324C3E" w:rsidRPr="000630E2" w:rsidRDefault="00DA77E4" w:rsidP="000630E2">
      <w:pPr>
        <w:pStyle w:val="ListParagraph"/>
        <w:numPr>
          <w:ilvl w:val="0"/>
          <w:numId w:val="25"/>
        </w:numPr>
        <w:spacing w:line="240" w:lineRule="auto"/>
        <w:rPr>
          <w:color w:val="000000"/>
          <w:bdr w:val="none" w:sz="0" w:space="0" w:color="auto" w:frame="1"/>
        </w:rPr>
      </w:pPr>
      <w:r w:rsidRPr="000463BC">
        <w:t xml:space="preserve">Guidance </w:t>
      </w:r>
      <w:r>
        <w:t>for harmonised HSS</w:t>
      </w:r>
      <w:r w:rsidRPr="000463BC">
        <w:t xml:space="preserve"> in conflict affected and fragile contexts </w:t>
      </w:r>
      <w:r>
        <w:t xml:space="preserve">is developed </w:t>
      </w:r>
      <w:r w:rsidRPr="00324C3E">
        <w:rPr>
          <w:bdr w:val="none" w:sz="0" w:space="0" w:color="auto" w:frame="1"/>
          <w:lang w:val="en-US" w:eastAsia="en-US"/>
        </w:rPr>
        <w:t>addressing resilience in situations where it is needed mos</w:t>
      </w:r>
      <w:r>
        <w:rPr>
          <w:bdr w:val="none" w:sz="0" w:space="0" w:color="auto" w:frame="1"/>
          <w:lang w:val="en-US" w:eastAsia="en-US"/>
        </w:rPr>
        <w:t>t</w:t>
      </w:r>
    </w:p>
    <w:p w:rsidR="00324C3E" w:rsidRPr="000630E2" w:rsidRDefault="00323365" w:rsidP="000630E2">
      <w:pPr>
        <w:pStyle w:val="ListParagraph"/>
        <w:numPr>
          <w:ilvl w:val="0"/>
          <w:numId w:val="25"/>
        </w:numPr>
        <w:spacing w:line="240" w:lineRule="auto"/>
        <w:rPr>
          <w:bdr w:val="none" w:sz="0" w:space="0" w:color="auto" w:frame="1"/>
        </w:rPr>
      </w:pPr>
      <w:r>
        <w:t>An approach to c</w:t>
      </w:r>
      <w:r w:rsidR="001927AB">
        <w:t xml:space="preserve">apacity building for civil society and other key stakeholders </w:t>
      </w:r>
      <w:r>
        <w:t xml:space="preserve">is developed </w:t>
      </w:r>
      <w:r w:rsidR="001927AB">
        <w:t xml:space="preserve">to strengthen advocacy for health systems and UHC </w:t>
      </w:r>
    </w:p>
    <w:p w:rsidR="00DA77E4" w:rsidRDefault="00DA77E4" w:rsidP="000630E2">
      <w:pPr>
        <w:pStyle w:val="ListParagraph"/>
        <w:numPr>
          <w:ilvl w:val="0"/>
          <w:numId w:val="25"/>
        </w:numPr>
        <w:spacing w:line="240" w:lineRule="auto"/>
      </w:pPr>
      <w:r w:rsidRPr="000463BC">
        <w:t xml:space="preserve">An annual forum is held to review and share experience on UHC progress and bottlenecks, identifying common priorities and proposed remedial actions to accelerate progress. </w:t>
      </w:r>
    </w:p>
    <w:p w:rsidR="00324C3E" w:rsidRPr="007A37BD" w:rsidRDefault="00324C3E" w:rsidP="000630E2">
      <w:pPr>
        <w:ind w:left="360"/>
      </w:pPr>
    </w:p>
    <w:bookmarkEnd w:id="2"/>
    <w:bookmarkEnd w:id="4"/>
    <w:p w:rsidR="00A94E8D" w:rsidRDefault="00A94E8D" w:rsidP="000630E2">
      <w:pPr>
        <w:pStyle w:val="ListParagraph"/>
        <w:spacing w:line="360" w:lineRule="auto"/>
        <w:rPr>
          <w:rFonts w:asciiTheme="majorHAnsi" w:eastAsia="Arial Unicode MS" w:hAnsiTheme="majorHAnsi" w:cs="Calibri"/>
          <w:color w:val="548DD4" w:themeColor="text2" w:themeTint="99"/>
          <w:sz w:val="26"/>
          <w:szCs w:val="26"/>
          <w:bdr w:val="nil"/>
          <w:lang w:val="en-US" w:eastAsia="en-US"/>
        </w:rPr>
      </w:pPr>
    </w:p>
    <w:p w:rsidR="00B36485" w:rsidRDefault="00B36485" w:rsidP="005A2F3C">
      <w:pPr>
        <w:spacing w:after="0" w:line="240" w:lineRule="auto"/>
        <w:rPr>
          <w:rFonts w:asciiTheme="majorHAnsi" w:eastAsia="Arial Unicode MS" w:hAnsiTheme="majorHAnsi" w:cs="Calibri"/>
          <w:color w:val="548DD4" w:themeColor="text2" w:themeTint="99"/>
          <w:sz w:val="26"/>
          <w:szCs w:val="26"/>
          <w:bdr w:val="nil"/>
          <w:lang w:val="en-US" w:eastAsia="en-US"/>
        </w:rPr>
      </w:pPr>
    </w:p>
    <w:p w:rsidR="00B36485" w:rsidRDefault="00B36485" w:rsidP="005A2F3C">
      <w:pPr>
        <w:spacing w:after="0" w:line="240" w:lineRule="auto"/>
        <w:rPr>
          <w:rFonts w:asciiTheme="majorHAnsi" w:eastAsia="Arial Unicode MS" w:hAnsiTheme="majorHAnsi" w:cs="Calibri"/>
          <w:color w:val="548DD4" w:themeColor="text2" w:themeTint="99"/>
          <w:sz w:val="26"/>
          <w:szCs w:val="26"/>
          <w:bdr w:val="nil"/>
          <w:lang w:val="en-US"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AF27F5" w:rsidRDefault="00AF27F5" w:rsidP="002E40C7">
      <w:pPr>
        <w:rPr>
          <w:rFonts w:ascii="Cambria" w:eastAsia="Helvetica" w:hAnsi="Cambria" w:cs="Helvetica"/>
          <w:b/>
          <w:bCs/>
          <w:color w:val="499BC9"/>
          <w:sz w:val="26"/>
          <w:szCs w:val="32"/>
          <w:lang w:eastAsia="en-US"/>
        </w:rPr>
      </w:pPr>
    </w:p>
    <w:p w:rsidR="000630E2" w:rsidRDefault="000630E2">
      <w:pPr>
        <w:rPr>
          <w:rFonts w:ascii="Cambria" w:eastAsia="Helvetica" w:hAnsi="Cambria" w:cs="Helvetica"/>
          <w:b/>
          <w:bCs/>
          <w:color w:val="499BC9"/>
          <w:sz w:val="26"/>
          <w:szCs w:val="32"/>
          <w:lang w:eastAsia="en-US"/>
        </w:rPr>
      </w:pPr>
      <w:r>
        <w:rPr>
          <w:rFonts w:ascii="Cambria" w:eastAsia="Helvetica" w:hAnsi="Cambria" w:cs="Helvetica"/>
          <w:b/>
          <w:bCs/>
          <w:color w:val="499BC9"/>
          <w:sz w:val="26"/>
          <w:szCs w:val="32"/>
          <w:lang w:eastAsia="en-US"/>
        </w:rPr>
        <w:br w:type="page"/>
      </w:r>
    </w:p>
    <w:p w:rsidR="00FC2E65" w:rsidRDefault="00AF27F5" w:rsidP="002E40C7">
      <w:pPr>
        <w:rPr>
          <w:rFonts w:ascii="Cambria" w:eastAsia="Helvetica" w:hAnsi="Cambria" w:cs="Helvetica"/>
          <w:b/>
          <w:bCs/>
          <w:color w:val="499BC9"/>
          <w:sz w:val="26"/>
          <w:szCs w:val="32"/>
          <w:lang w:eastAsia="en-US"/>
        </w:rPr>
      </w:pPr>
      <w:r>
        <w:rPr>
          <w:rFonts w:ascii="Cambria" w:eastAsia="Helvetica" w:hAnsi="Cambria" w:cs="Helvetica"/>
          <w:b/>
          <w:bCs/>
          <w:color w:val="499BC9"/>
          <w:sz w:val="26"/>
          <w:szCs w:val="32"/>
          <w:lang w:eastAsia="en-US"/>
        </w:rPr>
        <w:t>ANNEXES</w:t>
      </w:r>
    </w:p>
    <w:p w:rsidR="00343ED1" w:rsidRPr="000630E2" w:rsidRDefault="0000118E" w:rsidP="0000118E">
      <w:pPr>
        <w:rPr>
          <w:rFonts w:ascii="Calibri" w:eastAsia="Arial Unicode MS" w:hAnsi="Calibri" w:cs="Calibri"/>
          <w:b/>
          <w:bCs/>
          <w:sz w:val="24"/>
          <w:szCs w:val="30"/>
          <w:bdr w:val="nil"/>
          <w:lang w:val="en-US" w:eastAsia="en-US"/>
        </w:rPr>
      </w:pPr>
      <w:r w:rsidRPr="000630E2">
        <w:rPr>
          <w:rFonts w:ascii="Calibri" w:eastAsia="Arial Unicode MS" w:hAnsi="Calibri" w:cs="Calibri"/>
          <w:b/>
          <w:bCs/>
          <w:sz w:val="24"/>
          <w:szCs w:val="30"/>
          <w:bdr w:val="nil"/>
          <w:lang w:val="en-US" w:eastAsia="en-US"/>
        </w:rPr>
        <w:t xml:space="preserve">Annex </w:t>
      </w:r>
      <w:r w:rsidR="00FB5C62" w:rsidRPr="000630E2">
        <w:rPr>
          <w:rFonts w:ascii="Calibri" w:eastAsia="Arial Unicode MS" w:hAnsi="Calibri" w:cs="Calibri"/>
          <w:b/>
          <w:bCs/>
          <w:sz w:val="24"/>
          <w:szCs w:val="30"/>
          <w:bdr w:val="nil"/>
          <w:lang w:val="en-US" w:eastAsia="en-US"/>
        </w:rPr>
        <w:t>1</w:t>
      </w:r>
      <w:r w:rsidR="00AF27F5" w:rsidRPr="000630E2">
        <w:rPr>
          <w:rFonts w:ascii="Calibri" w:eastAsia="Arial Unicode MS" w:hAnsi="Calibri" w:cs="Calibri"/>
          <w:b/>
          <w:bCs/>
          <w:sz w:val="24"/>
          <w:szCs w:val="30"/>
          <w:bdr w:val="nil"/>
          <w:lang w:val="en-US" w:eastAsia="en-US"/>
        </w:rPr>
        <w:t>: O</w:t>
      </w:r>
      <w:r w:rsidRPr="000630E2">
        <w:rPr>
          <w:rFonts w:ascii="Calibri" w:eastAsia="Arial Unicode MS" w:hAnsi="Calibri" w:cs="Calibri"/>
          <w:b/>
          <w:bCs/>
          <w:sz w:val="24"/>
          <w:szCs w:val="30"/>
          <w:bdr w:val="nil"/>
          <w:lang w:val="en-US" w:eastAsia="en-US"/>
        </w:rPr>
        <w:t>verview of p</w:t>
      </w:r>
      <w:r w:rsidR="00343ED1" w:rsidRPr="000630E2">
        <w:rPr>
          <w:rFonts w:ascii="Calibri" w:eastAsia="Arial Unicode MS" w:hAnsi="Calibri" w:cs="Calibri"/>
          <w:b/>
          <w:bCs/>
          <w:sz w:val="24"/>
          <w:szCs w:val="30"/>
          <w:bdr w:val="nil"/>
          <w:lang w:val="en-US" w:eastAsia="en-US"/>
        </w:rPr>
        <w:t xml:space="preserve">ossible activities </w:t>
      </w:r>
      <w:r w:rsidRPr="000630E2">
        <w:rPr>
          <w:rFonts w:ascii="Calibri" w:eastAsia="Arial Unicode MS" w:hAnsi="Calibri" w:cs="Calibri"/>
          <w:b/>
          <w:bCs/>
          <w:sz w:val="24"/>
          <w:szCs w:val="30"/>
          <w:bdr w:val="nil"/>
          <w:lang w:val="en-US" w:eastAsia="en-US"/>
        </w:rPr>
        <w:t>for UHC 2030</w:t>
      </w:r>
    </w:p>
    <w:p w:rsidR="0000118E" w:rsidRDefault="0000118E" w:rsidP="0000118E">
      <w:pPr>
        <w:spacing w:after="0" w:line="240" w:lineRule="auto"/>
        <w:rPr>
          <w:rFonts w:ascii="Calibri" w:eastAsia="Helvetica" w:hAnsi="Calibri" w:cs="Helvetica"/>
          <w:szCs w:val="24"/>
          <w:lang w:eastAsia="en-US"/>
        </w:rPr>
      </w:pPr>
      <w:r>
        <w:rPr>
          <w:rFonts w:ascii="Calibri" w:eastAsia="Helvetica" w:hAnsi="Calibri" w:cs="Helvetica"/>
          <w:szCs w:val="24"/>
          <w:lang w:eastAsia="en-US"/>
        </w:rPr>
        <w:t xml:space="preserve">The IHP+ Steering Committee approved a work programme for 2016-17 that will need to be updated to reflect the broadened scope of IHP+ to become UHC 2030. It is proposed to submit an updated work programme for 2016-17 to the transitional Steering Committee towards the end of 2016/early 2017. </w:t>
      </w:r>
    </w:p>
    <w:p w:rsidR="0000118E" w:rsidRDefault="0000118E" w:rsidP="0000118E">
      <w:pPr>
        <w:spacing w:after="0" w:line="240" w:lineRule="auto"/>
        <w:rPr>
          <w:rFonts w:ascii="Calibri" w:eastAsia="Helvetica" w:hAnsi="Calibri" w:cs="Helvetica"/>
          <w:szCs w:val="24"/>
          <w:lang w:eastAsia="en-US"/>
        </w:rPr>
      </w:pPr>
    </w:p>
    <w:p w:rsidR="0000118E" w:rsidRDefault="0000118E" w:rsidP="005159BA">
      <w:pPr>
        <w:spacing w:after="0" w:line="240" w:lineRule="auto"/>
        <w:rPr>
          <w:rFonts w:ascii="Calibri" w:eastAsia="Helvetica" w:hAnsi="Calibri" w:cs="Helvetica"/>
          <w:szCs w:val="24"/>
          <w:lang w:eastAsia="en-US"/>
        </w:rPr>
      </w:pPr>
      <w:r>
        <w:rPr>
          <w:rFonts w:ascii="Calibri" w:eastAsia="Helvetica" w:hAnsi="Calibri" w:cs="Helvetica"/>
          <w:szCs w:val="24"/>
          <w:lang w:eastAsia="en-US"/>
        </w:rPr>
        <w:t>Below are some possible products that UHC 2030 could consider developing to provide practical guidance to countries and help them strengthen coordination around health systems strengthening</w:t>
      </w:r>
      <w:r w:rsidR="00CC3147">
        <w:rPr>
          <w:rFonts w:ascii="Calibri" w:eastAsia="Helvetica" w:hAnsi="Calibri" w:cs="Helvetica"/>
          <w:szCs w:val="24"/>
          <w:lang w:eastAsia="en-US"/>
        </w:rPr>
        <w:t xml:space="preserve">. </w:t>
      </w:r>
      <w:r w:rsidR="005159BA">
        <w:rPr>
          <w:rFonts w:ascii="Calibri" w:eastAsia="Helvetica" w:hAnsi="Calibri" w:cs="Helvetica"/>
          <w:szCs w:val="24"/>
          <w:lang w:eastAsia="en-US"/>
        </w:rPr>
        <w:t>Some of the p</w:t>
      </w:r>
      <w:r w:rsidR="00CC3147">
        <w:rPr>
          <w:rFonts w:ascii="Calibri" w:eastAsia="Helvetica" w:hAnsi="Calibri" w:cs="Helvetica"/>
          <w:szCs w:val="24"/>
          <w:lang w:eastAsia="en-US"/>
        </w:rPr>
        <w:t>roducts listed as bold are already included in the current IHP+ workplan</w:t>
      </w:r>
      <w:r w:rsidR="005159BA">
        <w:rPr>
          <w:rFonts w:ascii="Calibri" w:eastAsia="Helvetica" w:hAnsi="Calibri" w:cs="Helvetica"/>
          <w:szCs w:val="24"/>
          <w:lang w:eastAsia="en-US"/>
        </w:rPr>
        <w:t>, while those in bold italics are indicative of the shift from IHP+ to UHC 2030</w:t>
      </w:r>
      <w:r>
        <w:rPr>
          <w:rFonts w:ascii="Calibri" w:eastAsia="Helvetica" w:hAnsi="Calibri" w:cs="Helvetica"/>
          <w:szCs w:val="24"/>
          <w:lang w:eastAsia="en-US"/>
        </w:rPr>
        <w:t>:</w:t>
      </w:r>
    </w:p>
    <w:p w:rsidR="0085544A" w:rsidRDefault="0085544A" w:rsidP="005159BA">
      <w:pPr>
        <w:spacing w:after="0" w:line="240" w:lineRule="auto"/>
        <w:rPr>
          <w:rFonts w:ascii="Calibri" w:eastAsia="Helvetica" w:hAnsi="Calibri" w:cs="Helvetica"/>
          <w:szCs w:val="24"/>
          <w:lang w:eastAsia="en-US"/>
        </w:rPr>
      </w:pPr>
    </w:p>
    <w:p w:rsidR="00CC3147" w:rsidRPr="005159BA" w:rsidRDefault="00CC3147" w:rsidP="000630E2">
      <w:pPr>
        <w:pStyle w:val="ListParagraph"/>
        <w:numPr>
          <w:ilvl w:val="0"/>
          <w:numId w:val="34"/>
        </w:numPr>
        <w:spacing w:after="0"/>
        <w:rPr>
          <w:rFonts w:ascii="Calibri" w:eastAsia="Helvetica" w:hAnsi="Calibri" w:cs="Helvetica"/>
          <w:szCs w:val="24"/>
          <w:lang w:eastAsia="en-US"/>
        </w:rPr>
      </w:pPr>
      <w:r w:rsidRPr="005159BA">
        <w:t xml:space="preserve">A common approach to HSS in </w:t>
      </w:r>
      <w:r w:rsidR="006B7459">
        <w:t xml:space="preserve"> conflict affected and fragile contexts, including good practice principles for consistent and responsible engagement to build resilience</w:t>
      </w:r>
    </w:p>
    <w:p w:rsidR="00CC3147" w:rsidRPr="005159BA" w:rsidRDefault="00CC3147" w:rsidP="000630E2">
      <w:pPr>
        <w:pStyle w:val="ListParagraph"/>
        <w:numPr>
          <w:ilvl w:val="0"/>
          <w:numId w:val="34"/>
        </w:numPr>
        <w:spacing w:after="0"/>
        <w:rPr>
          <w:rFonts w:ascii="Calibri" w:eastAsia="Helvetica" w:hAnsi="Calibri" w:cs="Helvetica"/>
          <w:szCs w:val="24"/>
          <w:lang w:eastAsia="en-US"/>
        </w:rPr>
      </w:pPr>
      <w:r w:rsidRPr="005159BA">
        <w:t xml:space="preserve">Global EDC monitoring report and institutionalised country monitoring of IHP+ behaviours </w:t>
      </w:r>
    </w:p>
    <w:p w:rsidR="00CC3147" w:rsidRPr="005159BA" w:rsidRDefault="00CC3147" w:rsidP="0085544A">
      <w:pPr>
        <w:pStyle w:val="ListParagraph"/>
        <w:numPr>
          <w:ilvl w:val="0"/>
          <w:numId w:val="34"/>
        </w:numPr>
      </w:pPr>
      <w:r w:rsidRPr="005159BA">
        <w:t>Adaptation of JANS and JARs</w:t>
      </w:r>
    </w:p>
    <w:p w:rsidR="00CC3147" w:rsidRPr="005159BA" w:rsidRDefault="00CC3147" w:rsidP="000630E2">
      <w:pPr>
        <w:pStyle w:val="ListParagraph"/>
        <w:numPr>
          <w:ilvl w:val="0"/>
          <w:numId w:val="34"/>
        </w:numPr>
        <w:spacing w:after="0"/>
        <w:rPr>
          <w:rFonts w:ascii="Calibri" w:eastAsia="Helvetica" w:hAnsi="Calibri" w:cs="Helvetica"/>
          <w:b/>
          <w:bCs/>
          <w:szCs w:val="24"/>
          <w:lang w:eastAsia="en-US"/>
        </w:rPr>
      </w:pPr>
      <w:r w:rsidRPr="005159BA">
        <w:t>Case studies / lessons on south-south cooperation</w:t>
      </w:r>
      <w:r w:rsidRPr="005159BA">
        <w:rPr>
          <w:b/>
          <w:bCs/>
        </w:rPr>
        <w:t xml:space="preserve"> </w:t>
      </w:r>
    </w:p>
    <w:p w:rsidR="00CC3147" w:rsidRPr="005159BA" w:rsidRDefault="00CC3147" w:rsidP="005159BA">
      <w:pPr>
        <w:pStyle w:val="ListParagraph"/>
        <w:numPr>
          <w:ilvl w:val="1"/>
          <w:numId w:val="35"/>
        </w:numPr>
        <w:rPr>
          <w:b/>
          <w:bCs/>
          <w:i/>
          <w:iCs/>
        </w:rPr>
      </w:pPr>
      <w:r w:rsidRPr="005159BA">
        <w:rPr>
          <w:b/>
          <w:bCs/>
          <w:i/>
          <w:iCs/>
        </w:rPr>
        <w:t xml:space="preserve">A common approach </w:t>
      </w:r>
      <w:r w:rsidR="003537B0">
        <w:rPr>
          <w:b/>
          <w:bCs/>
          <w:i/>
          <w:iCs/>
        </w:rPr>
        <w:t>to</w:t>
      </w:r>
      <w:r w:rsidR="003537B0" w:rsidRPr="005159BA">
        <w:rPr>
          <w:b/>
          <w:bCs/>
          <w:i/>
          <w:iCs/>
        </w:rPr>
        <w:t xml:space="preserve"> </w:t>
      </w:r>
      <w:r w:rsidRPr="005159BA">
        <w:rPr>
          <w:b/>
          <w:bCs/>
          <w:i/>
          <w:iCs/>
        </w:rPr>
        <w:t>assess</w:t>
      </w:r>
      <w:r w:rsidR="00FB5C62">
        <w:rPr>
          <w:b/>
          <w:bCs/>
          <w:i/>
          <w:iCs/>
        </w:rPr>
        <w:t xml:space="preserve"> the performance of</w:t>
      </w:r>
      <w:r w:rsidRPr="005159BA">
        <w:rPr>
          <w:b/>
          <w:bCs/>
          <w:i/>
          <w:iCs/>
        </w:rPr>
        <w:t xml:space="preserve"> country health systems</w:t>
      </w:r>
    </w:p>
    <w:p w:rsidR="00CC3147" w:rsidRPr="000630E2" w:rsidRDefault="00CC3147" w:rsidP="000630E2">
      <w:pPr>
        <w:pStyle w:val="ListParagraph"/>
        <w:numPr>
          <w:ilvl w:val="0"/>
          <w:numId w:val="35"/>
        </w:numPr>
        <w:rPr>
          <w:b/>
          <w:bCs/>
          <w:i/>
          <w:iCs/>
        </w:rPr>
      </w:pPr>
      <w:r w:rsidRPr="005159BA">
        <w:rPr>
          <w:b/>
          <w:bCs/>
          <w:i/>
          <w:iCs/>
        </w:rPr>
        <w:t>A common approach to transition planning</w:t>
      </w:r>
      <w:r w:rsidR="00FB5C62">
        <w:rPr>
          <w:b/>
          <w:bCs/>
          <w:i/>
          <w:iCs/>
        </w:rPr>
        <w:t xml:space="preserve"> for countries mo</w:t>
      </w:r>
      <w:r w:rsidR="00AF27F5">
        <w:rPr>
          <w:b/>
          <w:bCs/>
          <w:i/>
          <w:iCs/>
        </w:rPr>
        <w:t xml:space="preserve">ving from </w:t>
      </w:r>
      <w:r w:rsidR="00324C3E">
        <w:rPr>
          <w:b/>
          <w:bCs/>
          <w:i/>
          <w:iCs/>
        </w:rPr>
        <w:t>low income to middle income</w:t>
      </w:r>
      <w:r w:rsidR="0085544A">
        <w:rPr>
          <w:b/>
          <w:bCs/>
          <w:i/>
          <w:iCs/>
        </w:rPr>
        <w:t xml:space="preserve"> status</w:t>
      </w:r>
      <w:r w:rsidR="006B7459">
        <w:rPr>
          <w:b/>
          <w:bCs/>
          <w:i/>
          <w:iCs/>
        </w:rPr>
        <w:t xml:space="preserve">, including good practice guidance drawing on current approaches to transition from external assistance </w:t>
      </w:r>
    </w:p>
    <w:p w:rsidR="00CC3147" w:rsidRPr="005159BA" w:rsidRDefault="00CC3147" w:rsidP="006B7459">
      <w:pPr>
        <w:pStyle w:val="ListParagraph"/>
        <w:numPr>
          <w:ilvl w:val="1"/>
          <w:numId w:val="35"/>
        </w:numPr>
        <w:rPr>
          <w:b/>
          <w:bCs/>
          <w:i/>
          <w:iCs/>
        </w:rPr>
      </w:pPr>
      <w:r w:rsidRPr="005159BA">
        <w:rPr>
          <w:b/>
          <w:bCs/>
          <w:i/>
          <w:iCs/>
        </w:rPr>
        <w:t xml:space="preserve">PFM: extend assessment to </w:t>
      </w:r>
      <w:r w:rsidR="006B7459">
        <w:rPr>
          <w:b/>
          <w:bCs/>
          <w:i/>
          <w:iCs/>
        </w:rPr>
        <w:t xml:space="preserve">a different range of </w:t>
      </w:r>
      <w:r w:rsidRPr="005159BA">
        <w:rPr>
          <w:b/>
          <w:bCs/>
          <w:i/>
          <w:iCs/>
        </w:rPr>
        <w:t xml:space="preserve">countries (beyond current IHP+ signatories) </w:t>
      </w:r>
    </w:p>
    <w:p w:rsidR="00CC3147" w:rsidRPr="005159BA" w:rsidRDefault="006B7459" w:rsidP="006B7459">
      <w:pPr>
        <w:pStyle w:val="ListParagraph"/>
        <w:numPr>
          <w:ilvl w:val="1"/>
          <w:numId w:val="35"/>
        </w:numPr>
        <w:rPr>
          <w:b/>
          <w:bCs/>
          <w:i/>
          <w:iCs/>
        </w:rPr>
      </w:pPr>
      <w:r>
        <w:rPr>
          <w:b/>
          <w:bCs/>
          <w:i/>
          <w:iCs/>
        </w:rPr>
        <w:t xml:space="preserve">Approach to </w:t>
      </w:r>
      <w:r w:rsidR="00CC3147" w:rsidRPr="005159BA">
        <w:rPr>
          <w:b/>
          <w:bCs/>
          <w:i/>
          <w:iCs/>
        </w:rPr>
        <w:t>Multi-stakeholder capacity strengthening on accountability for HSS and UHC (including civil society, media and parliamentarians)</w:t>
      </w:r>
    </w:p>
    <w:p w:rsidR="00CC3147" w:rsidRDefault="00CC3147" w:rsidP="005159BA">
      <w:pPr>
        <w:pStyle w:val="ListParagraph"/>
        <w:numPr>
          <w:ilvl w:val="1"/>
          <w:numId w:val="35"/>
        </w:numPr>
        <w:rPr>
          <w:b/>
          <w:bCs/>
          <w:i/>
          <w:iCs/>
        </w:rPr>
      </w:pPr>
      <w:r w:rsidRPr="005159BA">
        <w:rPr>
          <w:b/>
          <w:bCs/>
          <w:i/>
          <w:iCs/>
        </w:rPr>
        <w:t>A</w:t>
      </w:r>
      <w:r w:rsidR="00F3694E">
        <w:rPr>
          <w:b/>
          <w:bCs/>
          <w:i/>
          <w:iCs/>
        </w:rPr>
        <w:t>n a</w:t>
      </w:r>
      <w:r w:rsidRPr="005159BA">
        <w:rPr>
          <w:b/>
          <w:bCs/>
          <w:i/>
          <w:iCs/>
        </w:rPr>
        <w:t>nnual forum on UHC progress</w:t>
      </w:r>
    </w:p>
    <w:p w:rsidR="006B7459" w:rsidRPr="000630E2" w:rsidRDefault="006B7459" w:rsidP="000630E2">
      <w:pPr>
        <w:pStyle w:val="ListParagraph"/>
        <w:numPr>
          <w:ilvl w:val="0"/>
          <w:numId w:val="35"/>
        </w:numPr>
        <w:rPr>
          <w:b/>
          <w:bCs/>
          <w:i/>
          <w:iCs/>
        </w:rPr>
      </w:pPr>
      <w:r w:rsidRPr="000463BC">
        <w:rPr>
          <w:b/>
          <w:bCs/>
          <w:i/>
          <w:iCs/>
        </w:rPr>
        <w:t>Additional products to be identified in UHC 2030 programme of work for 2017, in collaboration with other partnerships/networks – e.g. guidance on multi-sector engagement</w:t>
      </w:r>
      <w:r>
        <w:rPr>
          <w:b/>
          <w:bCs/>
          <w:i/>
          <w:iCs/>
        </w:rPr>
        <w:t>, guidance on development cooperation investments in health infrastructure.</w:t>
      </w:r>
    </w:p>
    <w:p w:rsidR="0000118E" w:rsidRPr="005159BA" w:rsidRDefault="0000118E" w:rsidP="005159BA">
      <w:pPr>
        <w:pStyle w:val="ListParagraph"/>
        <w:spacing w:after="0" w:line="240" w:lineRule="auto"/>
        <w:rPr>
          <w:rFonts w:ascii="Calibri" w:eastAsia="Helvetica" w:hAnsi="Calibri" w:cs="Helvetica"/>
          <w:szCs w:val="24"/>
          <w:lang w:eastAsia="en-US"/>
        </w:rPr>
      </w:pPr>
    </w:p>
    <w:p w:rsidR="00DA77E4" w:rsidRPr="00DA77E4" w:rsidRDefault="0000118E" w:rsidP="000630E2">
      <w:pPr>
        <w:spacing w:after="240" w:line="240" w:lineRule="auto"/>
      </w:pPr>
      <w:r>
        <w:t>The balance between IHP+ focus and UHC 2030 will evolve over time</w:t>
      </w:r>
      <w:r w:rsidR="003D28E6">
        <w:t xml:space="preserve"> </w:t>
      </w:r>
      <w:r w:rsidR="00DA77E4">
        <w:t>determined by</w:t>
      </w:r>
      <w:r>
        <w:t xml:space="preserve"> country demand and pace in shifting from IHP+ to UHC 2030 agenda.</w:t>
      </w:r>
      <w:r w:rsidR="00CC3147">
        <w:t xml:space="preserve"> It is anticipated that this will begin with particular emphasis on countries receiving development assistance, and progressively shift to a more balanced distribution of work in middle-income</w:t>
      </w:r>
      <w:r w:rsidR="005159BA">
        <w:t xml:space="preserve"> countries.</w:t>
      </w:r>
      <w:r w:rsidR="00CC3147">
        <w:t xml:space="preserve"> </w:t>
      </w:r>
    </w:p>
    <w:p w:rsidR="00AF27F5" w:rsidRPr="000630E2" w:rsidRDefault="00AF27F5" w:rsidP="00AF27F5">
      <w:pPr>
        <w:rPr>
          <w:rFonts w:ascii="Calibri" w:eastAsia="Helvetica" w:hAnsi="Calibri" w:cs="Helvetica"/>
          <w:b/>
          <w:bCs/>
          <w:sz w:val="24"/>
          <w:lang w:eastAsia="en-US"/>
        </w:rPr>
      </w:pPr>
      <w:r w:rsidRPr="000630E2">
        <w:rPr>
          <w:rFonts w:ascii="Calibri" w:eastAsia="Helvetica" w:hAnsi="Calibri" w:cs="Helvetica"/>
          <w:b/>
          <w:bCs/>
          <w:sz w:val="24"/>
          <w:lang w:eastAsia="en-US"/>
        </w:rPr>
        <w:t>Annex 2: List of possible Partnerships/Technical Networks for UHC 2030 Coordination</w:t>
      </w:r>
    </w:p>
    <w:p w:rsidR="006D095D" w:rsidRDefault="006D095D" w:rsidP="003D3BCC">
      <w:pPr>
        <w:rPr>
          <w:rFonts w:ascii="Calibri" w:eastAsia="Helvetica" w:hAnsi="Calibri" w:cs="Helvetica"/>
          <w:bCs/>
          <w:color w:val="499BC9"/>
          <w:lang w:eastAsia="en-US"/>
        </w:rPr>
      </w:pPr>
      <w:r>
        <w:rPr>
          <w:rFonts w:ascii="Calibri" w:eastAsia="Helvetica" w:hAnsi="Calibri" w:cs="Helvetica"/>
          <w:bCs/>
          <w:lang w:eastAsia="en-US"/>
        </w:rPr>
        <w:t xml:space="preserve">The below networks or partnerships are involved in systems strengthening and or UHC work and hence the opportunity exits better coordinate and synergize their work under UHC 2030. </w:t>
      </w:r>
      <w:r w:rsidRPr="00D42C4C">
        <w:rPr>
          <w:rFonts w:ascii="Calibri" w:eastAsia="Helvetica" w:hAnsi="Calibri" w:cs="Helvetica"/>
          <w:bCs/>
          <w:lang w:eastAsia="en-US"/>
        </w:rPr>
        <w:t>T</w:t>
      </w:r>
      <w:r>
        <w:rPr>
          <w:rFonts w:ascii="Calibri" w:eastAsia="Helvetica" w:hAnsi="Calibri" w:cs="Helvetica"/>
          <w:bCs/>
          <w:lang w:eastAsia="en-US"/>
        </w:rPr>
        <w:t>he</w:t>
      </w:r>
      <w:r w:rsidRPr="00D42C4C">
        <w:rPr>
          <w:rFonts w:ascii="Calibri" w:eastAsia="Helvetica" w:hAnsi="Calibri" w:cs="Helvetica"/>
          <w:bCs/>
          <w:lang w:eastAsia="en-US"/>
        </w:rPr>
        <w:t xml:space="preserve"> list is</w:t>
      </w:r>
      <w:r>
        <w:rPr>
          <w:rFonts w:ascii="Calibri" w:eastAsia="Helvetica" w:hAnsi="Calibri" w:cs="Helvetica"/>
          <w:bCs/>
          <w:lang w:eastAsia="en-US"/>
        </w:rPr>
        <w:t xml:space="preserve"> not exhaustive and could change as the </w:t>
      </w:r>
      <w:r w:rsidR="00FB70F0">
        <w:rPr>
          <w:rFonts w:ascii="Calibri" w:eastAsia="Helvetica" w:hAnsi="Calibri" w:cs="Helvetica"/>
          <w:bCs/>
          <w:lang w:eastAsia="en-US"/>
        </w:rPr>
        <w:t xml:space="preserve">formation of </w:t>
      </w:r>
      <w:r>
        <w:rPr>
          <w:rFonts w:ascii="Calibri" w:eastAsia="Helvetica" w:hAnsi="Calibri" w:cs="Helvetica"/>
          <w:bCs/>
          <w:lang w:eastAsia="en-US"/>
        </w:rPr>
        <w:t>UHC 2030 evolves.</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Joint Learning Network (JLN)</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Providing for Health (P4H)</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Health Data Collaborative</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Human Resource for Health Network (HRH Network)</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Alliance for Health Policy and Systems Research</w:t>
      </w:r>
    </w:p>
    <w:p w:rsidR="00AF27F5" w:rsidRPr="000630E2" w:rsidRDefault="00AF27F5" w:rsidP="000630E2">
      <w:pPr>
        <w:pStyle w:val="ListParagraph"/>
        <w:numPr>
          <w:ilvl w:val="0"/>
          <w:numId w:val="38"/>
        </w:numPr>
        <w:rPr>
          <w:rFonts w:ascii="Calibri" w:eastAsia="Helvetica" w:hAnsi="Calibri" w:cs="Helvetica"/>
          <w:bCs/>
          <w:lang w:eastAsia="en-US"/>
        </w:rPr>
      </w:pPr>
      <w:r w:rsidRPr="000630E2">
        <w:rPr>
          <w:rFonts w:ascii="Calibri" w:eastAsia="Helvetica" w:hAnsi="Calibri" w:cs="Helvetica"/>
          <w:bCs/>
          <w:lang w:eastAsia="en-US"/>
        </w:rPr>
        <w:t>Every Woman Every Child (EWEC)</w:t>
      </w:r>
    </w:p>
    <w:p w:rsidR="00894B48" w:rsidRDefault="00AF27F5" w:rsidP="000630E2">
      <w:pPr>
        <w:pStyle w:val="ListParagraph"/>
        <w:numPr>
          <w:ilvl w:val="0"/>
          <w:numId w:val="38"/>
        </w:numPr>
      </w:pPr>
      <w:r w:rsidRPr="000630E2">
        <w:rPr>
          <w:rFonts w:ascii="Calibri" w:eastAsia="Helvetica" w:hAnsi="Calibri" w:cs="Helvetica"/>
          <w:bCs/>
          <w:lang w:eastAsia="en-US"/>
        </w:rPr>
        <w:t>Global Health Security Agenda</w:t>
      </w:r>
    </w:p>
    <w:p w:rsidR="000630E2" w:rsidRDefault="000630E2">
      <w:pPr>
        <w:rPr>
          <w:b/>
          <w:sz w:val="24"/>
        </w:rPr>
      </w:pPr>
      <w:r>
        <w:rPr>
          <w:b/>
          <w:sz w:val="24"/>
        </w:rPr>
        <w:br w:type="page"/>
      </w:r>
    </w:p>
    <w:p w:rsidR="0000118E" w:rsidRPr="000630E2" w:rsidRDefault="0000118E" w:rsidP="005159BA">
      <w:pPr>
        <w:rPr>
          <w:b/>
          <w:sz w:val="24"/>
        </w:rPr>
      </w:pPr>
      <w:r w:rsidRPr="000630E2">
        <w:rPr>
          <w:b/>
          <w:sz w:val="24"/>
        </w:rPr>
        <w:t xml:space="preserve">Annex </w:t>
      </w:r>
      <w:r w:rsidR="00F41A00" w:rsidRPr="000630E2">
        <w:rPr>
          <w:b/>
          <w:sz w:val="24"/>
        </w:rPr>
        <w:t>3</w:t>
      </w:r>
      <w:r w:rsidR="00AF27F5" w:rsidRPr="000630E2">
        <w:rPr>
          <w:b/>
          <w:sz w:val="24"/>
        </w:rPr>
        <w:t>: P</w:t>
      </w:r>
      <w:r w:rsidRPr="000630E2">
        <w:rPr>
          <w:b/>
          <w:sz w:val="24"/>
        </w:rPr>
        <w:t xml:space="preserve">roposed </w:t>
      </w:r>
      <w:r w:rsidR="0050249E" w:rsidRPr="006075BA">
        <w:rPr>
          <w:b/>
          <w:sz w:val="24"/>
        </w:rPr>
        <w:t>approach for a rapid i</w:t>
      </w:r>
      <w:r w:rsidR="009F65C3" w:rsidRPr="006075BA">
        <w:rPr>
          <w:b/>
          <w:sz w:val="24"/>
        </w:rPr>
        <w:t>n</w:t>
      </w:r>
      <w:r w:rsidR="0050249E" w:rsidRPr="006075BA">
        <w:rPr>
          <w:b/>
          <w:sz w:val="24"/>
        </w:rPr>
        <w:t>dependent</w:t>
      </w:r>
      <w:r w:rsidRPr="006075BA">
        <w:rPr>
          <w:b/>
          <w:sz w:val="24"/>
        </w:rPr>
        <w:t xml:space="preserve"> IHP+ review</w:t>
      </w:r>
    </w:p>
    <w:p w:rsidR="0000118E" w:rsidRPr="005F3A45" w:rsidRDefault="0000118E" w:rsidP="0000118E">
      <w:pPr>
        <w:rPr>
          <w:b/>
          <w:i/>
        </w:rPr>
      </w:pPr>
      <w:r w:rsidRPr="005F3A45">
        <w:rPr>
          <w:b/>
          <w:i/>
        </w:rPr>
        <w:t>Purpose:</w:t>
      </w:r>
    </w:p>
    <w:p w:rsidR="0000118E" w:rsidRDefault="00DA77E4" w:rsidP="00DA77E4">
      <w:r>
        <w:t>I</w:t>
      </w:r>
      <w:r w:rsidR="0000118E">
        <w:t xml:space="preserve">n response to discussions at the last Steering Committee meeting of 8 April and emerging questions on how best to operationalise UHC 2030, the IHP+ Core Team is commissioning a light-touch independent review of IHP+ to learn from past experience. This will build on previous assessments to analyse what has worked well, what has not, and why, with a brief review of a selected number of other similar partnerships and related initiatives, and identification of recommendations. </w:t>
      </w:r>
    </w:p>
    <w:p w:rsidR="0000118E" w:rsidRDefault="0000118E" w:rsidP="0000118E">
      <w:r>
        <w:t xml:space="preserve">The review </w:t>
      </w:r>
      <w:r w:rsidR="00FB5C62">
        <w:t xml:space="preserve">results </w:t>
      </w:r>
      <w:r>
        <w:t>will inform</w:t>
      </w:r>
      <w:r w:rsidR="00FB5C62">
        <w:t xml:space="preserve"> planning for</w:t>
      </w:r>
      <w:r w:rsidR="00A32773">
        <w:t xml:space="preserve"> the proposed</w:t>
      </w:r>
      <w:r w:rsidR="00FB5C62">
        <w:t xml:space="preserve"> </w:t>
      </w:r>
      <w:r>
        <w:t>UHC 2030</w:t>
      </w:r>
      <w:r w:rsidR="00A32773">
        <w:t xml:space="preserve"> by providing input to help articulate the</w:t>
      </w:r>
      <w:r w:rsidR="00FB5C62">
        <w:t xml:space="preserve"> added value for its</w:t>
      </w:r>
      <w:r w:rsidR="00A32773">
        <w:t xml:space="preserve"> creation</w:t>
      </w:r>
      <w:r>
        <w:t>.</w:t>
      </w:r>
    </w:p>
    <w:p w:rsidR="0000118E" w:rsidRPr="00783C8B" w:rsidRDefault="0000118E" w:rsidP="0000118E">
      <w:pPr>
        <w:rPr>
          <w:b/>
          <w:i/>
        </w:rPr>
      </w:pPr>
      <w:r w:rsidRPr="00783C8B">
        <w:rPr>
          <w:b/>
          <w:i/>
        </w:rPr>
        <w:t>Methodology:</w:t>
      </w:r>
    </w:p>
    <w:p w:rsidR="0000118E" w:rsidRDefault="0000118E" w:rsidP="0000118E">
      <w:r>
        <w:t>This review will involve a mixed methods approach along the following lines of enquiry:</w:t>
      </w:r>
      <w:r w:rsidRPr="00CB3ADD">
        <w:t xml:space="preserve"> </w:t>
      </w:r>
    </w:p>
    <w:p w:rsidR="0000118E" w:rsidRDefault="0000118E" w:rsidP="0000118E">
      <w:pPr>
        <w:pStyle w:val="ListParagraph"/>
        <w:numPr>
          <w:ilvl w:val="0"/>
          <w:numId w:val="28"/>
        </w:numPr>
        <w:spacing w:after="160" w:line="259" w:lineRule="auto"/>
      </w:pPr>
      <w:r w:rsidRPr="00CB3ADD">
        <w:t>What have been the main achievements of the IHP+ since its launch in 2007</w:t>
      </w:r>
      <w:r>
        <w:t xml:space="preserve"> and why</w:t>
      </w:r>
      <w:r w:rsidRPr="00CB3ADD">
        <w:t>?</w:t>
      </w:r>
      <w:r>
        <w:t xml:space="preserve"> What is the comparative experience of other similar partnerships and related initiatives?</w:t>
      </w:r>
    </w:p>
    <w:p w:rsidR="0000118E" w:rsidRPr="00CB3ADD" w:rsidRDefault="0000118E" w:rsidP="0000118E">
      <w:pPr>
        <w:pStyle w:val="ListParagraph"/>
        <w:numPr>
          <w:ilvl w:val="0"/>
          <w:numId w:val="28"/>
        </w:numPr>
        <w:spacing w:after="160" w:line="259" w:lineRule="auto"/>
      </w:pPr>
      <w:r>
        <w:t>Where has progress been more difficult and why?</w:t>
      </w:r>
      <w:r w:rsidRPr="00CB3ADD">
        <w:t xml:space="preserve">  </w:t>
      </w:r>
    </w:p>
    <w:p w:rsidR="0000118E" w:rsidRPr="00CB3ADD" w:rsidRDefault="0000118E" w:rsidP="0000118E">
      <w:pPr>
        <w:pStyle w:val="ListParagraph"/>
        <w:numPr>
          <w:ilvl w:val="0"/>
          <w:numId w:val="28"/>
        </w:numPr>
        <w:spacing w:after="160" w:line="259" w:lineRule="auto"/>
      </w:pPr>
      <w:r w:rsidRPr="00CB3ADD">
        <w:t>How have IHP+ structures and operations</w:t>
      </w:r>
      <w:r>
        <w:t>, and other contextual factors</w:t>
      </w:r>
      <w:r w:rsidRPr="00CB3ADD">
        <w:t xml:space="preserve"> enabled/constrained IHP+ achievements?  </w:t>
      </w:r>
      <w:r>
        <w:t>What is the comparative experience of other similar partnerships and related initiatives?</w:t>
      </w:r>
    </w:p>
    <w:p w:rsidR="0000118E" w:rsidRDefault="0000118E" w:rsidP="0000118E">
      <w:pPr>
        <w:pStyle w:val="ListParagraph"/>
        <w:numPr>
          <w:ilvl w:val="0"/>
          <w:numId w:val="28"/>
        </w:numPr>
        <w:spacing w:after="160" w:line="259" w:lineRule="auto"/>
      </w:pPr>
      <w:r w:rsidRPr="00CB3ADD">
        <w:t>What lessons can be learned for future operations of UHC</w:t>
      </w:r>
      <w:r>
        <w:t xml:space="preserve"> </w:t>
      </w:r>
      <w:r w:rsidRPr="00CB3ADD">
        <w:t xml:space="preserve">2030?  </w:t>
      </w:r>
    </w:p>
    <w:p w:rsidR="0000118E" w:rsidRDefault="0000118E" w:rsidP="0000118E">
      <w:r>
        <w:t>The work</w:t>
      </w:r>
      <w:r w:rsidR="00724196">
        <w:t xml:space="preserve"> </w:t>
      </w:r>
      <w:r>
        <w:t>plan and detailed methodology will be approved by the Core Team before implementation of the review commences.</w:t>
      </w:r>
    </w:p>
    <w:p w:rsidR="0000118E" w:rsidRDefault="0000118E" w:rsidP="0000118E">
      <w:pPr>
        <w:rPr>
          <w:b/>
          <w:i/>
        </w:rPr>
      </w:pPr>
      <w:r>
        <w:rPr>
          <w:b/>
          <w:i/>
        </w:rPr>
        <w:t>Deliverables:</w:t>
      </w:r>
    </w:p>
    <w:tbl>
      <w:tblPr>
        <w:tblStyle w:val="TableGrid"/>
        <w:tblW w:w="9322" w:type="dxa"/>
        <w:tblLook w:val="04A0" w:firstRow="1" w:lastRow="0" w:firstColumn="1" w:lastColumn="0" w:noHBand="0" w:noVBand="1"/>
      </w:tblPr>
      <w:tblGrid>
        <w:gridCol w:w="6771"/>
        <w:gridCol w:w="2551"/>
      </w:tblGrid>
      <w:tr w:rsidR="0000118E" w:rsidTr="000C5E6E">
        <w:tc>
          <w:tcPr>
            <w:tcW w:w="6771" w:type="dxa"/>
          </w:tcPr>
          <w:p w:rsidR="0000118E" w:rsidRPr="00622F74" w:rsidRDefault="0000118E" w:rsidP="000C5E6E">
            <w:pPr>
              <w:jc w:val="center"/>
              <w:rPr>
                <w:b/>
              </w:rPr>
            </w:pPr>
            <w:r w:rsidRPr="00622F74">
              <w:rPr>
                <w:b/>
              </w:rPr>
              <w:t>Deliverable</w:t>
            </w:r>
          </w:p>
        </w:tc>
        <w:tc>
          <w:tcPr>
            <w:tcW w:w="2551" w:type="dxa"/>
          </w:tcPr>
          <w:p w:rsidR="0000118E" w:rsidRPr="00622F74" w:rsidRDefault="0000118E" w:rsidP="000C5E6E">
            <w:pPr>
              <w:ind w:left="3626" w:hanging="3626"/>
              <w:jc w:val="center"/>
              <w:rPr>
                <w:b/>
              </w:rPr>
            </w:pPr>
            <w:r w:rsidRPr="00622F74">
              <w:rPr>
                <w:b/>
              </w:rPr>
              <w:t>Due date</w:t>
            </w:r>
          </w:p>
        </w:tc>
      </w:tr>
      <w:tr w:rsidR="0000118E" w:rsidTr="000C5E6E">
        <w:tc>
          <w:tcPr>
            <w:tcW w:w="6771" w:type="dxa"/>
          </w:tcPr>
          <w:p w:rsidR="0000118E" w:rsidRDefault="0000118E" w:rsidP="0000118E">
            <w:pPr>
              <w:pStyle w:val="ListParagraph"/>
              <w:numPr>
                <w:ilvl w:val="0"/>
                <w:numId w:val="29"/>
              </w:numPr>
            </w:pPr>
            <w:r w:rsidRPr="00491B37">
              <w:rPr>
                <w:b/>
              </w:rPr>
              <w:t>Work</w:t>
            </w:r>
            <w:r w:rsidR="0085544A">
              <w:rPr>
                <w:b/>
              </w:rPr>
              <w:t xml:space="preserve"> </w:t>
            </w:r>
            <w:r w:rsidRPr="00491B37">
              <w:rPr>
                <w:b/>
              </w:rPr>
              <w:t xml:space="preserve">plan and </w:t>
            </w:r>
            <w:r>
              <w:rPr>
                <w:b/>
              </w:rPr>
              <w:t xml:space="preserve">detailed </w:t>
            </w:r>
            <w:r w:rsidRPr="00491B37">
              <w:rPr>
                <w:b/>
              </w:rPr>
              <w:t>methodology</w:t>
            </w:r>
            <w:r>
              <w:t xml:space="preserve"> for review, including a list of the main documents for the desk based review, key informants to be interviewed, the comparable partnerships and initiatives that will be covered, and key questions</w:t>
            </w:r>
          </w:p>
        </w:tc>
        <w:tc>
          <w:tcPr>
            <w:tcW w:w="2551" w:type="dxa"/>
          </w:tcPr>
          <w:p w:rsidR="0000118E" w:rsidRDefault="0000118E" w:rsidP="000C5E6E">
            <w:r>
              <w:t>Mid-July 2016</w:t>
            </w:r>
          </w:p>
        </w:tc>
      </w:tr>
      <w:tr w:rsidR="0000118E" w:rsidTr="000C5E6E">
        <w:tc>
          <w:tcPr>
            <w:tcW w:w="6771" w:type="dxa"/>
          </w:tcPr>
          <w:p w:rsidR="0000118E" w:rsidRDefault="0000118E" w:rsidP="0000118E">
            <w:pPr>
              <w:pStyle w:val="ListParagraph"/>
              <w:numPr>
                <w:ilvl w:val="0"/>
                <w:numId w:val="29"/>
              </w:numPr>
            </w:pPr>
            <w:r w:rsidRPr="00BB41B5">
              <w:rPr>
                <w:b/>
              </w:rPr>
              <w:t>Report</w:t>
            </w:r>
            <w:r>
              <w:t xml:space="preserve"> including executive summary, findings, conclusion and recommendations (max. 20 pages)</w:t>
            </w:r>
          </w:p>
        </w:tc>
        <w:tc>
          <w:tcPr>
            <w:tcW w:w="2551" w:type="dxa"/>
          </w:tcPr>
          <w:p w:rsidR="0000118E" w:rsidRDefault="0000118E" w:rsidP="000C5E6E">
            <w:r>
              <w:t>End October 2016</w:t>
            </w:r>
          </w:p>
        </w:tc>
      </w:tr>
      <w:tr w:rsidR="0000118E" w:rsidTr="000C5E6E">
        <w:tc>
          <w:tcPr>
            <w:tcW w:w="6771" w:type="dxa"/>
          </w:tcPr>
          <w:p w:rsidR="0000118E" w:rsidRDefault="0000118E" w:rsidP="0000118E">
            <w:pPr>
              <w:pStyle w:val="ListParagraph"/>
              <w:numPr>
                <w:ilvl w:val="0"/>
                <w:numId w:val="29"/>
              </w:numPr>
            </w:pPr>
            <w:r w:rsidRPr="00991F23">
              <w:rPr>
                <w:b/>
              </w:rPr>
              <w:t>Presentation</w:t>
            </w:r>
            <w:r>
              <w:t xml:space="preserve"> to UHC 2030 Steering Committee</w:t>
            </w:r>
          </w:p>
        </w:tc>
        <w:tc>
          <w:tcPr>
            <w:tcW w:w="2551" w:type="dxa"/>
          </w:tcPr>
          <w:p w:rsidR="0000118E" w:rsidRDefault="0000118E" w:rsidP="000C5E6E">
            <w:r>
              <w:t>December 2016</w:t>
            </w:r>
          </w:p>
        </w:tc>
      </w:tr>
    </w:tbl>
    <w:p w:rsidR="0085544A" w:rsidRDefault="0085544A" w:rsidP="00364C5A">
      <w:pPr>
        <w:spacing w:after="0" w:line="240" w:lineRule="auto"/>
        <w:rPr>
          <w:rFonts w:ascii="Calibri" w:eastAsia="Arial Unicode MS" w:hAnsi="Calibri" w:cs="Calibri"/>
          <w:szCs w:val="30"/>
          <w:bdr w:val="nil"/>
          <w:lang w:val="en-US" w:eastAsia="en-US"/>
        </w:rPr>
      </w:pPr>
    </w:p>
    <w:p w:rsidR="0000118E" w:rsidRPr="000630E2" w:rsidRDefault="0000118E" w:rsidP="000630E2">
      <w:pPr>
        <w:rPr>
          <w:rFonts w:ascii="Calibri" w:eastAsia="Arial Unicode MS" w:hAnsi="Calibri" w:cs="Calibri"/>
          <w:szCs w:val="30"/>
          <w:lang w:val="en-US" w:eastAsia="en-US"/>
        </w:rPr>
      </w:pPr>
    </w:p>
    <w:sectPr w:rsidR="0000118E" w:rsidRPr="000630E2" w:rsidSect="002653FD">
      <w:footerReference w:type="even" r:id="rId12"/>
      <w:footerReference w:type="default" r:id="rId13"/>
      <w:pgSz w:w="11900" w:h="16840"/>
      <w:pgMar w:top="993" w:right="1268" w:bottom="1135"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46D06" w15:done="0"/>
  <w15:commentEx w15:paraId="081BD564" w15:done="0"/>
  <w15:commentEx w15:paraId="0662606D" w15:done="0"/>
  <w15:commentEx w15:paraId="6C81D4BC" w15:done="0"/>
  <w15:commentEx w15:paraId="71BE9EBC" w15:done="0"/>
  <w15:commentEx w15:paraId="44571FC9" w15:done="0"/>
  <w15:commentEx w15:paraId="3C645747" w15:done="0"/>
  <w15:commentEx w15:paraId="252892DB" w15:done="0"/>
  <w15:commentEx w15:paraId="4300728A" w15:done="0"/>
  <w15:commentEx w15:paraId="208B8A2B" w15:done="0"/>
  <w15:commentEx w15:paraId="1868F658" w15:done="0"/>
  <w15:commentEx w15:paraId="10ADE69F" w15:done="0"/>
  <w15:commentEx w15:paraId="16254350" w15:done="0"/>
  <w15:commentEx w15:paraId="1AEFC10D" w15:done="0"/>
  <w15:commentEx w15:paraId="3C8F4060" w15:done="0"/>
  <w15:commentEx w15:paraId="5B3A3E80" w15:done="0"/>
  <w15:commentEx w15:paraId="5F0F6F5D" w15:done="0"/>
  <w15:commentEx w15:paraId="735D10EB" w15:done="0"/>
  <w15:commentEx w15:paraId="62530923" w15:done="0"/>
  <w15:commentEx w15:paraId="484F360D" w15:done="0"/>
  <w15:commentEx w15:paraId="4EB2C2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03" w:rsidRDefault="00F57B03" w:rsidP="008B529B">
      <w:pPr>
        <w:spacing w:after="0" w:line="240" w:lineRule="auto"/>
      </w:pPr>
      <w:r>
        <w:separator/>
      </w:r>
    </w:p>
  </w:endnote>
  <w:endnote w:type="continuationSeparator" w:id="0">
    <w:p w:rsidR="00F57B03" w:rsidRDefault="00F57B03" w:rsidP="008B529B">
      <w:pPr>
        <w:spacing w:after="0" w:line="240" w:lineRule="auto"/>
      </w:pPr>
      <w:r>
        <w:continuationSeparator/>
      </w:r>
    </w:p>
  </w:endnote>
  <w:endnote w:type="continuationNotice" w:id="1">
    <w:p w:rsidR="00F57B03" w:rsidRDefault="00F5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89" w:rsidRDefault="00AA3889" w:rsidP="00C43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889" w:rsidRDefault="00AA3889" w:rsidP="00C439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89" w:rsidRDefault="00AA3889" w:rsidP="00C43905">
    <w:pPr>
      <w:pStyle w:val="Footer"/>
      <w:framePr w:wrap="around" w:vAnchor="text" w:hAnchor="margin" w:xAlign="right" w:y="1"/>
      <w:rPr>
        <w:rStyle w:val="PageNumber"/>
      </w:rPr>
    </w:pPr>
    <w:r w:rsidRPr="00570635">
      <w:rPr>
        <w:rStyle w:val="PageNumber"/>
      </w:rPr>
      <w:fldChar w:fldCharType="begin"/>
    </w:r>
    <w:r>
      <w:instrText xml:space="preserve"> PAGE </w:instrText>
    </w:r>
    <w:r w:rsidRPr="00570635">
      <w:rPr>
        <w:rStyle w:val="PageNumber"/>
      </w:rPr>
      <w:fldChar w:fldCharType="separate"/>
    </w:r>
    <w:r w:rsidR="0094060E">
      <w:rPr>
        <w:noProof/>
      </w:rPr>
      <w:t>2</w:t>
    </w:r>
    <w:r w:rsidRPr="00570635">
      <w:rPr>
        <w:rStyle w:val="PageNumber"/>
      </w:rPr>
      <w:fldChar w:fldCharType="end"/>
    </w:r>
  </w:p>
  <w:p w:rsidR="00AA3889" w:rsidRDefault="00AA3889" w:rsidP="00C439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03" w:rsidRDefault="00F57B03" w:rsidP="008B529B">
      <w:pPr>
        <w:spacing w:after="0" w:line="240" w:lineRule="auto"/>
      </w:pPr>
      <w:r>
        <w:separator/>
      </w:r>
    </w:p>
  </w:footnote>
  <w:footnote w:type="continuationSeparator" w:id="0">
    <w:p w:rsidR="00F57B03" w:rsidRDefault="00F57B03" w:rsidP="008B529B">
      <w:pPr>
        <w:spacing w:after="0" w:line="240" w:lineRule="auto"/>
      </w:pPr>
      <w:r>
        <w:continuationSeparator/>
      </w:r>
    </w:p>
  </w:footnote>
  <w:footnote w:type="continuationNotice" w:id="1">
    <w:p w:rsidR="00F57B03" w:rsidRDefault="00F57B03">
      <w:pPr>
        <w:spacing w:after="0" w:line="240" w:lineRule="auto"/>
      </w:pPr>
    </w:p>
  </w:footnote>
  <w:footnote w:id="2">
    <w:p w:rsidR="00AA3889" w:rsidRPr="008400A4" w:rsidRDefault="00AA3889">
      <w:pPr>
        <w:pStyle w:val="FootnoteText"/>
        <w:rPr>
          <w:sz w:val="18"/>
          <w:szCs w:val="18"/>
        </w:rPr>
      </w:pPr>
      <w:r w:rsidRPr="00EB24AB">
        <w:rPr>
          <w:rStyle w:val="FootnoteReference"/>
          <w:sz w:val="18"/>
          <w:szCs w:val="18"/>
        </w:rPr>
        <w:footnoteRef/>
      </w:r>
      <w:r w:rsidRPr="00EB24AB">
        <w:rPr>
          <w:sz w:val="18"/>
          <w:szCs w:val="18"/>
        </w:rPr>
        <w:t xml:space="preserve"> </w:t>
      </w:r>
      <w:r w:rsidRPr="008400A4">
        <w:rPr>
          <w:sz w:val="18"/>
          <w:szCs w:val="18"/>
        </w:rPr>
        <w:t xml:space="preserve">UNGA. 2015. </w:t>
      </w:r>
      <w:r w:rsidRPr="008400A4">
        <w:rPr>
          <w:i/>
          <w:sz w:val="18"/>
          <w:szCs w:val="18"/>
        </w:rPr>
        <w:t>Transforming our World: The 2030 Agenda for Sustainable Development.</w:t>
      </w:r>
      <w:r w:rsidRPr="008400A4">
        <w:rPr>
          <w:sz w:val="18"/>
          <w:szCs w:val="18"/>
        </w:rPr>
        <w:t xml:space="preserve"> Resolution A/RES/70/1</w:t>
      </w:r>
      <w:r w:rsidRPr="008400A4">
        <w:rPr>
          <w:sz w:val="18"/>
          <w:szCs w:val="18"/>
          <w:lang w:val="en-US"/>
        </w:rPr>
        <w:t xml:space="preserve"> point 26</w:t>
      </w:r>
    </w:p>
  </w:footnote>
  <w:footnote w:id="3">
    <w:p w:rsidR="00AA3889" w:rsidRPr="008400A4" w:rsidRDefault="00AA3889">
      <w:pPr>
        <w:pStyle w:val="FootnoteText"/>
        <w:rPr>
          <w:sz w:val="18"/>
          <w:szCs w:val="18"/>
        </w:rPr>
      </w:pPr>
      <w:r w:rsidRPr="008400A4">
        <w:rPr>
          <w:rStyle w:val="FootnoteReference"/>
          <w:sz w:val="18"/>
          <w:szCs w:val="18"/>
        </w:rPr>
        <w:footnoteRef/>
      </w:r>
      <w:r w:rsidRPr="008400A4">
        <w:rPr>
          <w:sz w:val="18"/>
          <w:szCs w:val="18"/>
        </w:rPr>
        <w:t xml:space="preserve"> </w:t>
      </w:r>
      <w:r w:rsidRPr="008400A4">
        <w:rPr>
          <w:sz w:val="18"/>
          <w:szCs w:val="18"/>
          <w:lang w:val="en-US"/>
        </w:rPr>
        <w:t xml:space="preserve">Warnken, H. 2015. Health Systems – Healthy Lives: A Global Initiative to Strengthen Health Systems. </w:t>
      </w:r>
      <w:r w:rsidRPr="008400A4">
        <w:rPr>
          <w:i/>
          <w:sz w:val="18"/>
          <w:szCs w:val="18"/>
          <w:lang w:val="en-US"/>
        </w:rPr>
        <w:t xml:space="preserve">Presentation by the German Federal Ministry for Economic Cooperation and Development and the WHO, </w:t>
      </w:r>
      <w:r w:rsidRPr="008400A4">
        <w:rPr>
          <w:sz w:val="18"/>
          <w:szCs w:val="18"/>
          <w:lang w:val="en-US"/>
        </w:rPr>
        <w:t>Geneva: 18</w:t>
      </w:r>
      <w:r w:rsidRPr="008400A4">
        <w:rPr>
          <w:sz w:val="18"/>
          <w:szCs w:val="18"/>
          <w:vertAlign w:val="superscript"/>
          <w:lang w:val="en-US"/>
        </w:rPr>
        <w:t>th</w:t>
      </w:r>
      <w:r w:rsidRPr="008400A4">
        <w:rPr>
          <w:sz w:val="18"/>
          <w:szCs w:val="18"/>
          <w:lang w:val="en-US"/>
        </w:rPr>
        <w:t xml:space="preserve"> November 2015</w:t>
      </w:r>
    </w:p>
  </w:footnote>
  <w:footnote w:id="4">
    <w:p w:rsidR="00AA3889" w:rsidRPr="008400A4" w:rsidRDefault="00AA3889">
      <w:pPr>
        <w:pStyle w:val="FootnoteText"/>
        <w:rPr>
          <w:sz w:val="18"/>
          <w:szCs w:val="18"/>
        </w:rPr>
      </w:pPr>
      <w:r w:rsidRPr="008400A4">
        <w:rPr>
          <w:rStyle w:val="FootnoteReference"/>
          <w:sz w:val="18"/>
          <w:szCs w:val="18"/>
        </w:rPr>
        <w:footnoteRef/>
      </w:r>
      <w:r w:rsidRPr="008400A4">
        <w:rPr>
          <w:sz w:val="18"/>
          <w:szCs w:val="18"/>
        </w:rPr>
        <w:t xml:space="preserve"> </w:t>
      </w:r>
      <w:r w:rsidRPr="008400A4">
        <w:rPr>
          <w:sz w:val="18"/>
          <w:szCs w:val="18"/>
          <w:lang w:val="en-US"/>
        </w:rPr>
        <w:t xml:space="preserve">Agenda for the </w:t>
      </w:r>
      <w:r w:rsidRPr="008400A4">
        <w:rPr>
          <w:i/>
          <w:sz w:val="18"/>
          <w:szCs w:val="18"/>
          <w:lang w:val="en-US"/>
        </w:rPr>
        <w:t>International Conference on Universal Health Coverage in the New Development Era: Toward Building Resilient and Sustainable Health Systems</w:t>
      </w:r>
      <w:r w:rsidRPr="008400A4">
        <w:rPr>
          <w:sz w:val="18"/>
          <w:szCs w:val="18"/>
          <w:lang w:val="en-US"/>
        </w:rPr>
        <w:t>, December 16, 2015</w:t>
      </w:r>
    </w:p>
  </w:footnote>
  <w:footnote w:id="5">
    <w:p w:rsidR="00AA3889" w:rsidRPr="008400A4" w:rsidRDefault="00AA3889">
      <w:pPr>
        <w:pStyle w:val="FootnoteText"/>
        <w:rPr>
          <w:sz w:val="18"/>
          <w:szCs w:val="18"/>
        </w:rPr>
      </w:pPr>
      <w:r w:rsidRPr="008400A4">
        <w:rPr>
          <w:rStyle w:val="FootnoteReference"/>
          <w:sz w:val="18"/>
          <w:szCs w:val="18"/>
        </w:rPr>
        <w:footnoteRef/>
      </w:r>
      <w:r w:rsidRPr="008400A4">
        <w:rPr>
          <w:sz w:val="18"/>
          <w:szCs w:val="18"/>
        </w:rPr>
        <w:t xml:space="preserve"> </w:t>
      </w:r>
      <w:r w:rsidRPr="008400A4">
        <w:rPr>
          <w:sz w:val="18"/>
          <w:szCs w:val="18"/>
          <w:lang w:val="en-US"/>
        </w:rPr>
        <w:t xml:space="preserve">Hoffman, S.J., Cole, C.B., Pearcey, M. 2015. Mapping Global Health Architecture to Inform the Future. </w:t>
      </w:r>
      <w:r w:rsidRPr="008400A4">
        <w:rPr>
          <w:sz w:val="18"/>
          <w:szCs w:val="18"/>
          <w:u w:val="single"/>
          <w:lang w:val="en-US"/>
        </w:rPr>
        <w:t>Research Paper</w:t>
      </w:r>
      <w:r w:rsidRPr="008400A4">
        <w:rPr>
          <w:sz w:val="18"/>
          <w:szCs w:val="18"/>
          <w:lang w:val="en-US"/>
        </w:rPr>
        <w:t xml:space="preserve">. Chatham House Centre on Global Health Security, London: 2015.  </w:t>
      </w:r>
    </w:p>
  </w:footnote>
  <w:footnote w:id="6">
    <w:p w:rsidR="00AA3889" w:rsidRPr="008400A4" w:rsidRDefault="00AA3889" w:rsidP="00AA0993">
      <w:pPr>
        <w:pStyle w:val="FootnoteText"/>
        <w:rPr>
          <w:sz w:val="18"/>
          <w:szCs w:val="18"/>
        </w:rPr>
      </w:pPr>
      <w:r w:rsidRPr="008400A4">
        <w:rPr>
          <w:rStyle w:val="FootnoteReference"/>
          <w:sz w:val="18"/>
          <w:szCs w:val="18"/>
        </w:rPr>
        <w:footnoteRef/>
      </w:r>
      <w:r w:rsidRPr="008400A4">
        <w:rPr>
          <w:sz w:val="18"/>
          <w:szCs w:val="18"/>
        </w:rPr>
        <w:t xml:space="preserve"> The IHP+ core team carried out a survey in March to get views from partner countries signatories on broadening the scope of IHP+. </w:t>
      </w:r>
      <w:r w:rsidRPr="008400A4">
        <w:rPr>
          <w:sz w:val="18"/>
          <w:szCs w:val="18"/>
          <w:lang w:val="en-US"/>
        </w:rPr>
        <w:t>Civil society groups have been equally supportive of the proposal to transform IHP+.</w:t>
      </w:r>
    </w:p>
  </w:footnote>
  <w:footnote w:id="7">
    <w:p w:rsidR="00AA3889" w:rsidRPr="008400A4" w:rsidRDefault="00AA3889" w:rsidP="00913FA3">
      <w:pPr>
        <w:pStyle w:val="FootnoteText"/>
        <w:rPr>
          <w:sz w:val="18"/>
          <w:szCs w:val="18"/>
        </w:rPr>
      </w:pPr>
      <w:r w:rsidRPr="008400A4">
        <w:rPr>
          <w:rStyle w:val="FootnoteReference"/>
          <w:sz w:val="18"/>
          <w:szCs w:val="18"/>
        </w:rPr>
        <w:footnoteRef/>
      </w:r>
      <w:r w:rsidRPr="008400A4">
        <w:rPr>
          <w:sz w:val="18"/>
          <w:szCs w:val="18"/>
        </w:rPr>
        <w:t xml:space="preserve"> The name has yet to be decided based on further consultations. The Steering Committee (SC) decided at its 8 April meeting to recommend to the IHP+ Signatories to broaden the scope of IHP+ to include facilitating better coordination of HSS for UHC and offer participation to a broader range of partners.</w:t>
      </w:r>
    </w:p>
  </w:footnote>
  <w:footnote w:id="8">
    <w:p w:rsidR="00AA3889" w:rsidRPr="002D28DD" w:rsidRDefault="00AA3889">
      <w:pPr>
        <w:pStyle w:val="FootnoteText"/>
        <w:rPr>
          <w:lang w:val="en-US"/>
        </w:rPr>
      </w:pPr>
      <w:r>
        <w:rPr>
          <w:rStyle w:val="FootnoteReference"/>
        </w:rPr>
        <w:footnoteRef/>
      </w:r>
      <w:r>
        <w:t xml:space="preserve"> </w:t>
      </w:r>
      <w:r w:rsidRPr="002D28DD">
        <w:rPr>
          <w:sz w:val="18"/>
          <w:lang w:val="en-US"/>
        </w:rPr>
        <w:t xml:space="preserve">This includes </w:t>
      </w:r>
      <w:r>
        <w:rPr>
          <w:sz w:val="18"/>
          <w:lang w:val="en-US"/>
        </w:rPr>
        <w:t xml:space="preserve">networks, </w:t>
      </w:r>
      <w:r w:rsidRPr="002D28DD">
        <w:rPr>
          <w:sz w:val="18"/>
          <w:lang w:val="en-US"/>
        </w:rPr>
        <w:t>alliances and partnerships</w:t>
      </w:r>
      <w:r>
        <w:rPr>
          <w:sz w:val="18"/>
          <w:lang w:val="en-US"/>
        </w:rPr>
        <w:t xml:space="preserve"> (See Annex 2 and Figure 1)</w:t>
      </w:r>
      <w:r w:rsidRPr="002D28DD">
        <w:rPr>
          <w:sz w:val="18"/>
          <w:lang w:val="en-US"/>
        </w:rPr>
        <w:t>.</w:t>
      </w:r>
    </w:p>
  </w:footnote>
  <w:footnote w:id="9">
    <w:p w:rsidR="00AA3889" w:rsidRDefault="00AA3889" w:rsidP="00825C83">
      <w:pPr>
        <w:pStyle w:val="FootnoteText"/>
      </w:pPr>
      <w:r>
        <w:rPr>
          <w:rStyle w:val="FootnoteReference"/>
        </w:rPr>
        <w:footnoteRef/>
      </w:r>
      <w:r w:rsidR="00825C83" w:rsidRPr="008B487E">
        <w:rPr>
          <w:color w:val="000000"/>
          <w:sz w:val="18"/>
        </w:rPr>
        <w:t>UHC 2030 will need to define the parameters for its work on accountability, complementing and not duplicating the existing landscape. This should learn from th</w:t>
      </w:r>
      <w:r w:rsidR="00825C83">
        <w:rPr>
          <w:color w:val="000000"/>
          <w:sz w:val="18"/>
        </w:rPr>
        <w:t xml:space="preserve">e experience of accountability mechanisms </w:t>
      </w:r>
      <w:r w:rsidR="00825C83" w:rsidRPr="008B487E">
        <w:rPr>
          <w:color w:val="000000"/>
          <w:sz w:val="18"/>
        </w:rPr>
        <w:t>during the Millennium Development Goals, support the SDG follow-up and review processes, and promote a more integrated approach to accountability for health in the SDGs</w:t>
      </w:r>
      <w:r w:rsidR="00825C83">
        <w:rPr>
          <w:color w:val="000000"/>
          <w:sz w:val="18"/>
        </w:rPr>
        <w:t>.</w:t>
      </w:r>
      <w:r w:rsidR="00825C83">
        <w:rPr>
          <w:sz w:val="18"/>
        </w:rPr>
        <w:t xml:space="preserve"> </w:t>
      </w:r>
    </w:p>
  </w:footnote>
  <w:footnote w:id="10">
    <w:p w:rsidR="00AA3889" w:rsidRPr="002D28DD" w:rsidRDefault="00AA3889" w:rsidP="007160E8">
      <w:pPr>
        <w:spacing w:after="0" w:line="240" w:lineRule="auto"/>
        <w:rPr>
          <w:rFonts w:ascii="Calibri" w:eastAsia="Helvetica" w:hAnsi="Calibri" w:cs="Helvetica"/>
          <w:sz w:val="18"/>
          <w:szCs w:val="24"/>
          <w:lang w:eastAsia="en-US"/>
        </w:rPr>
      </w:pPr>
      <w:r>
        <w:rPr>
          <w:rStyle w:val="FootnoteReference"/>
        </w:rPr>
        <w:footnoteRef/>
      </w:r>
      <w:r>
        <w:t xml:space="preserve"> </w:t>
      </w:r>
      <w:r w:rsidRPr="002D28DD">
        <w:rPr>
          <w:sz w:val="18"/>
        </w:rPr>
        <w:t>These wil</w:t>
      </w:r>
      <w:r w:rsidRPr="002D28DD">
        <w:rPr>
          <w:rFonts w:ascii="Calibri" w:eastAsia="Helvetica" w:hAnsi="Calibri" w:cs="Helvetica"/>
          <w:sz w:val="18"/>
          <w:szCs w:val="24"/>
          <w:lang w:eastAsia="en-US"/>
        </w:rPr>
        <w:t>l be refined following the consultation and independent review</w:t>
      </w:r>
      <w:r>
        <w:rPr>
          <w:rFonts w:ascii="Calibri" w:eastAsia="Helvetica" w:hAnsi="Calibri" w:cs="Helvetica"/>
          <w:sz w:val="18"/>
          <w:szCs w:val="24"/>
          <w:lang w:eastAsia="en-US"/>
        </w:rPr>
        <w:t xml:space="preserve"> (see Annex 3),</w:t>
      </w:r>
      <w:r w:rsidRPr="002D28DD">
        <w:rPr>
          <w:rFonts w:ascii="Calibri" w:eastAsia="Helvetica" w:hAnsi="Calibri" w:cs="Helvetica"/>
          <w:sz w:val="18"/>
          <w:szCs w:val="24"/>
          <w:lang w:eastAsia="en-US"/>
        </w:rPr>
        <w:t xml:space="preserve"> which will take place between June and October 2016 and inform the updated 2017 work</w:t>
      </w:r>
      <w:r>
        <w:rPr>
          <w:rFonts w:ascii="Calibri" w:eastAsia="Helvetica" w:hAnsi="Calibri" w:cs="Helvetica"/>
          <w:sz w:val="18"/>
          <w:szCs w:val="24"/>
          <w:lang w:eastAsia="en-US"/>
        </w:rPr>
        <w:t xml:space="preserve"> </w:t>
      </w:r>
      <w:r w:rsidRPr="002D28DD">
        <w:rPr>
          <w:rFonts w:ascii="Calibri" w:eastAsia="Helvetica" w:hAnsi="Calibri" w:cs="Helvetica"/>
          <w:sz w:val="18"/>
          <w:szCs w:val="24"/>
          <w:lang w:eastAsia="en-US"/>
        </w:rPr>
        <w:t>plan.</w:t>
      </w:r>
    </w:p>
    <w:p w:rsidR="00AA3889" w:rsidRPr="002D28DD" w:rsidRDefault="00AA3889">
      <w:pPr>
        <w:pStyle w:val="FootnoteText"/>
        <w:rPr>
          <w:lang w:val="en-US"/>
        </w:rPr>
      </w:pPr>
    </w:p>
  </w:footnote>
  <w:footnote w:id="11">
    <w:p w:rsidR="00AA3889" w:rsidRPr="002D28DD" w:rsidRDefault="00AA3889">
      <w:pPr>
        <w:pStyle w:val="FootnoteText"/>
        <w:rPr>
          <w:lang w:val="en-US"/>
        </w:rPr>
      </w:pPr>
      <w:r>
        <w:rPr>
          <w:rStyle w:val="FootnoteReference"/>
        </w:rPr>
        <w:footnoteRef/>
      </w:r>
      <w:r>
        <w:t xml:space="preserve"> </w:t>
      </w:r>
      <w:r>
        <w:rPr>
          <w:lang w:val="en-US"/>
        </w:rPr>
        <w:t>These include the WHO/WB UHC monitoring framework, the SDG monitoring report, the AU/Global Fund scorecard on health financing, and sub-sectoral monitoring efforts.</w:t>
      </w:r>
    </w:p>
  </w:footnote>
  <w:footnote w:id="12">
    <w:p w:rsidR="00AA3889" w:rsidRPr="00E27E17" w:rsidRDefault="00AA3889" w:rsidP="008B2B82">
      <w:pPr>
        <w:pStyle w:val="FootnoteText"/>
        <w:rPr>
          <w:lang w:val="en-US"/>
        </w:rPr>
      </w:pPr>
      <w:r>
        <w:rPr>
          <w:rStyle w:val="FootnoteReference"/>
        </w:rPr>
        <w:footnoteRef/>
      </w:r>
      <w:r>
        <w:t xml:space="preserve"> </w:t>
      </w:r>
      <w:r>
        <w:rPr>
          <w:lang w:val="en-US"/>
        </w:rPr>
        <w:t xml:space="preserve">Such as the Joint Learning Network, </w:t>
      </w:r>
      <w:r>
        <w:rPr>
          <w:rFonts w:ascii="Calibri" w:eastAsia="Helvetica" w:hAnsi="Calibri" w:cs="Helvetica"/>
          <w:szCs w:val="24"/>
          <w:lang w:eastAsia="en-US"/>
        </w:rPr>
        <w:t>Alliance for Health System Research, Health Systems Global, Providing 4 Health.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400"/>
    <w:multiLevelType w:val="hybridMultilevel"/>
    <w:tmpl w:val="543E2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6601F"/>
    <w:multiLevelType w:val="hybridMultilevel"/>
    <w:tmpl w:val="BC4A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40DDC"/>
    <w:multiLevelType w:val="hybridMultilevel"/>
    <w:tmpl w:val="CA34E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02A6"/>
    <w:multiLevelType w:val="hybridMultilevel"/>
    <w:tmpl w:val="2676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1706C"/>
    <w:multiLevelType w:val="hybridMultilevel"/>
    <w:tmpl w:val="6B3A0A2A"/>
    <w:lvl w:ilvl="0" w:tplc="0B702526">
      <w:start w:val="5"/>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A4F30"/>
    <w:multiLevelType w:val="hybridMultilevel"/>
    <w:tmpl w:val="4C7483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1F48044" w:tentative="1">
      <w:start w:val="1"/>
      <w:numFmt w:val="bullet"/>
      <w:lvlText w:val="•"/>
      <w:lvlJc w:val="left"/>
      <w:pPr>
        <w:tabs>
          <w:tab w:val="num" w:pos="2160"/>
        </w:tabs>
        <w:ind w:left="2160" w:hanging="360"/>
      </w:pPr>
      <w:rPr>
        <w:rFonts w:ascii="Arial" w:hAnsi="Arial" w:hint="default"/>
      </w:rPr>
    </w:lvl>
    <w:lvl w:ilvl="3" w:tplc="0EE24142" w:tentative="1">
      <w:start w:val="1"/>
      <w:numFmt w:val="bullet"/>
      <w:lvlText w:val="•"/>
      <w:lvlJc w:val="left"/>
      <w:pPr>
        <w:tabs>
          <w:tab w:val="num" w:pos="2880"/>
        </w:tabs>
        <w:ind w:left="2880" w:hanging="360"/>
      </w:pPr>
      <w:rPr>
        <w:rFonts w:ascii="Arial" w:hAnsi="Arial" w:hint="default"/>
      </w:rPr>
    </w:lvl>
    <w:lvl w:ilvl="4" w:tplc="EFB4798A" w:tentative="1">
      <w:start w:val="1"/>
      <w:numFmt w:val="bullet"/>
      <w:lvlText w:val="•"/>
      <w:lvlJc w:val="left"/>
      <w:pPr>
        <w:tabs>
          <w:tab w:val="num" w:pos="3600"/>
        </w:tabs>
        <w:ind w:left="3600" w:hanging="360"/>
      </w:pPr>
      <w:rPr>
        <w:rFonts w:ascii="Arial" w:hAnsi="Arial" w:hint="default"/>
      </w:rPr>
    </w:lvl>
    <w:lvl w:ilvl="5" w:tplc="0CB2477A" w:tentative="1">
      <w:start w:val="1"/>
      <w:numFmt w:val="bullet"/>
      <w:lvlText w:val="•"/>
      <w:lvlJc w:val="left"/>
      <w:pPr>
        <w:tabs>
          <w:tab w:val="num" w:pos="4320"/>
        </w:tabs>
        <w:ind w:left="4320" w:hanging="360"/>
      </w:pPr>
      <w:rPr>
        <w:rFonts w:ascii="Arial" w:hAnsi="Arial" w:hint="default"/>
      </w:rPr>
    </w:lvl>
    <w:lvl w:ilvl="6" w:tplc="85B27896" w:tentative="1">
      <w:start w:val="1"/>
      <w:numFmt w:val="bullet"/>
      <w:lvlText w:val="•"/>
      <w:lvlJc w:val="left"/>
      <w:pPr>
        <w:tabs>
          <w:tab w:val="num" w:pos="5040"/>
        </w:tabs>
        <w:ind w:left="5040" w:hanging="360"/>
      </w:pPr>
      <w:rPr>
        <w:rFonts w:ascii="Arial" w:hAnsi="Arial" w:hint="default"/>
      </w:rPr>
    </w:lvl>
    <w:lvl w:ilvl="7" w:tplc="A950E65C" w:tentative="1">
      <w:start w:val="1"/>
      <w:numFmt w:val="bullet"/>
      <w:lvlText w:val="•"/>
      <w:lvlJc w:val="left"/>
      <w:pPr>
        <w:tabs>
          <w:tab w:val="num" w:pos="5760"/>
        </w:tabs>
        <w:ind w:left="5760" w:hanging="360"/>
      </w:pPr>
      <w:rPr>
        <w:rFonts w:ascii="Arial" w:hAnsi="Arial" w:hint="default"/>
      </w:rPr>
    </w:lvl>
    <w:lvl w:ilvl="8" w:tplc="DCAC3304" w:tentative="1">
      <w:start w:val="1"/>
      <w:numFmt w:val="bullet"/>
      <w:lvlText w:val="•"/>
      <w:lvlJc w:val="left"/>
      <w:pPr>
        <w:tabs>
          <w:tab w:val="num" w:pos="6480"/>
        </w:tabs>
        <w:ind w:left="6480" w:hanging="360"/>
      </w:pPr>
      <w:rPr>
        <w:rFonts w:ascii="Arial" w:hAnsi="Arial" w:hint="default"/>
      </w:rPr>
    </w:lvl>
  </w:abstractNum>
  <w:abstractNum w:abstractNumId="6">
    <w:nsid w:val="1B437CED"/>
    <w:multiLevelType w:val="hybridMultilevel"/>
    <w:tmpl w:val="BA201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D4691A"/>
    <w:multiLevelType w:val="hybridMultilevel"/>
    <w:tmpl w:val="CA5A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22E3C"/>
    <w:multiLevelType w:val="hybridMultilevel"/>
    <w:tmpl w:val="F88EE2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44B4D"/>
    <w:multiLevelType w:val="hybridMultilevel"/>
    <w:tmpl w:val="F648A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7F3A3E"/>
    <w:multiLevelType w:val="hybridMultilevel"/>
    <w:tmpl w:val="1DEC6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9566F"/>
    <w:multiLevelType w:val="hybridMultilevel"/>
    <w:tmpl w:val="4A808B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2BD669CD"/>
    <w:multiLevelType w:val="hybridMultilevel"/>
    <w:tmpl w:val="EF2AE03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3">
    <w:nsid w:val="2BEA5E4C"/>
    <w:multiLevelType w:val="hybridMultilevel"/>
    <w:tmpl w:val="93CC7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387A94"/>
    <w:multiLevelType w:val="hybridMultilevel"/>
    <w:tmpl w:val="CA34E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17BE5"/>
    <w:multiLevelType w:val="hybridMultilevel"/>
    <w:tmpl w:val="74925EF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3A9C3B62"/>
    <w:multiLevelType w:val="hybridMultilevel"/>
    <w:tmpl w:val="93EAE6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57399C"/>
    <w:multiLevelType w:val="hybridMultilevel"/>
    <w:tmpl w:val="9468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0A3BAD"/>
    <w:multiLevelType w:val="hybridMultilevel"/>
    <w:tmpl w:val="5CEA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A6E47"/>
    <w:multiLevelType w:val="hybridMultilevel"/>
    <w:tmpl w:val="E454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C5062"/>
    <w:multiLevelType w:val="hybridMultilevel"/>
    <w:tmpl w:val="DC4E265A"/>
    <w:lvl w:ilvl="0" w:tplc="25546FC2">
      <w:start w:val="1"/>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214D04"/>
    <w:multiLevelType w:val="hybridMultilevel"/>
    <w:tmpl w:val="A9360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C27D86"/>
    <w:multiLevelType w:val="hybridMultilevel"/>
    <w:tmpl w:val="BCA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1754A"/>
    <w:multiLevelType w:val="hybridMultilevel"/>
    <w:tmpl w:val="E918F1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15657"/>
    <w:multiLevelType w:val="hybridMultilevel"/>
    <w:tmpl w:val="20A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F5B90"/>
    <w:multiLevelType w:val="hybridMultilevel"/>
    <w:tmpl w:val="BEF67F8C"/>
    <w:lvl w:ilvl="0" w:tplc="08090001">
      <w:start w:val="1"/>
      <w:numFmt w:val="bullet"/>
      <w:lvlText w:val=""/>
      <w:lvlJc w:val="left"/>
      <w:pPr>
        <w:ind w:left="720" w:hanging="360"/>
      </w:pPr>
      <w:rPr>
        <w:rFonts w:ascii="Symbol" w:hAnsi="Symbol" w:hint="default"/>
      </w:rPr>
    </w:lvl>
    <w:lvl w:ilvl="1" w:tplc="25546FC2">
      <w:start w:val="1"/>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721C21"/>
    <w:multiLevelType w:val="hybridMultilevel"/>
    <w:tmpl w:val="8FEA788E"/>
    <w:lvl w:ilvl="0" w:tplc="F326912A">
      <w:start w:val="1"/>
      <w:numFmt w:val="bullet"/>
      <w:lvlText w:val="•"/>
      <w:lvlJc w:val="left"/>
      <w:pPr>
        <w:tabs>
          <w:tab w:val="num" w:pos="720"/>
        </w:tabs>
        <w:ind w:left="720" w:hanging="360"/>
      </w:pPr>
      <w:rPr>
        <w:rFonts w:ascii="Arial" w:hAnsi="Arial" w:hint="default"/>
      </w:rPr>
    </w:lvl>
    <w:lvl w:ilvl="1" w:tplc="25546FC2">
      <w:start w:val="1"/>
      <w:numFmt w:val="bullet"/>
      <w:lvlText w:val="-"/>
      <w:lvlJc w:val="left"/>
      <w:pPr>
        <w:tabs>
          <w:tab w:val="num" w:pos="1440"/>
        </w:tabs>
        <w:ind w:left="1440" w:hanging="360"/>
      </w:pPr>
      <w:rPr>
        <w:rFonts w:ascii="Calibri" w:eastAsia="Arial Unicode MS" w:hAnsi="Calibri" w:cs="Calibri" w:hint="default"/>
      </w:rPr>
    </w:lvl>
    <w:lvl w:ilvl="2" w:tplc="A1F48044" w:tentative="1">
      <w:start w:val="1"/>
      <w:numFmt w:val="bullet"/>
      <w:lvlText w:val="•"/>
      <w:lvlJc w:val="left"/>
      <w:pPr>
        <w:tabs>
          <w:tab w:val="num" w:pos="2160"/>
        </w:tabs>
        <w:ind w:left="2160" w:hanging="360"/>
      </w:pPr>
      <w:rPr>
        <w:rFonts w:ascii="Arial" w:hAnsi="Arial" w:hint="default"/>
      </w:rPr>
    </w:lvl>
    <w:lvl w:ilvl="3" w:tplc="0EE24142" w:tentative="1">
      <w:start w:val="1"/>
      <w:numFmt w:val="bullet"/>
      <w:lvlText w:val="•"/>
      <w:lvlJc w:val="left"/>
      <w:pPr>
        <w:tabs>
          <w:tab w:val="num" w:pos="2880"/>
        </w:tabs>
        <w:ind w:left="2880" w:hanging="360"/>
      </w:pPr>
      <w:rPr>
        <w:rFonts w:ascii="Arial" w:hAnsi="Arial" w:hint="default"/>
      </w:rPr>
    </w:lvl>
    <w:lvl w:ilvl="4" w:tplc="EFB4798A" w:tentative="1">
      <w:start w:val="1"/>
      <w:numFmt w:val="bullet"/>
      <w:lvlText w:val="•"/>
      <w:lvlJc w:val="left"/>
      <w:pPr>
        <w:tabs>
          <w:tab w:val="num" w:pos="3600"/>
        </w:tabs>
        <w:ind w:left="3600" w:hanging="360"/>
      </w:pPr>
      <w:rPr>
        <w:rFonts w:ascii="Arial" w:hAnsi="Arial" w:hint="default"/>
      </w:rPr>
    </w:lvl>
    <w:lvl w:ilvl="5" w:tplc="0CB2477A" w:tentative="1">
      <w:start w:val="1"/>
      <w:numFmt w:val="bullet"/>
      <w:lvlText w:val="•"/>
      <w:lvlJc w:val="left"/>
      <w:pPr>
        <w:tabs>
          <w:tab w:val="num" w:pos="4320"/>
        </w:tabs>
        <w:ind w:left="4320" w:hanging="360"/>
      </w:pPr>
      <w:rPr>
        <w:rFonts w:ascii="Arial" w:hAnsi="Arial" w:hint="default"/>
      </w:rPr>
    </w:lvl>
    <w:lvl w:ilvl="6" w:tplc="85B27896" w:tentative="1">
      <w:start w:val="1"/>
      <w:numFmt w:val="bullet"/>
      <w:lvlText w:val="•"/>
      <w:lvlJc w:val="left"/>
      <w:pPr>
        <w:tabs>
          <w:tab w:val="num" w:pos="5040"/>
        </w:tabs>
        <w:ind w:left="5040" w:hanging="360"/>
      </w:pPr>
      <w:rPr>
        <w:rFonts w:ascii="Arial" w:hAnsi="Arial" w:hint="default"/>
      </w:rPr>
    </w:lvl>
    <w:lvl w:ilvl="7" w:tplc="A950E65C" w:tentative="1">
      <w:start w:val="1"/>
      <w:numFmt w:val="bullet"/>
      <w:lvlText w:val="•"/>
      <w:lvlJc w:val="left"/>
      <w:pPr>
        <w:tabs>
          <w:tab w:val="num" w:pos="5760"/>
        </w:tabs>
        <w:ind w:left="5760" w:hanging="360"/>
      </w:pPr>
      <w:rPr>
        <w:rFonts w:ascii="Arial" w:hAnsi="Arial" w:hint="default"/>
      </w:rPr>
    </w:lvl>
    <w:lvl w:ilvl="8" w:tplc="DCAC3304" w:tentative="1">
      <w:start w:val="1"/>
      <w:numFmt w:val="bullet"/>
      <w:lvlText w:val="•"/>
      <w:lvlJc w:val="left"/>
      <w:pPr>
        <w:tabs>
          <w:tab w:val="num" w:pos="6480"/>
        </w:tabs>
        <w:ind w:left="6480" w:hanging="360"/>
      </w:pPr>
      <w:rPr>
        <w:rFonts w:ascii="Arial" w:hAnsi="Arial" w:hint="default"/>
      </w:rPr>
    </w:lvl>
  </w:abstractNum>
  <w:abstractNum w:abstractNumId="27">
    <w:nsid w:val="530528D0"/>
    <w:multiLevelType w:val="hybridMultilevel"/>
    <w:tmpl w:val="919CAF34"/>
    <w:lvl w:ilvl="0" w:tplc="1D129C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9F5656"/>
    <w:multiLevelType w:val="hybridMultilevel"/>
    <w:tmpl w:val="B676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615267"/>
    <w:multiLevelType w:val="hybridMultilevel"/>
    <w:tmpl w:val="005E6F02"/>
    <w:lvl w:ilvl="0" w:tplc="04090001">
      <w:start w:val="1"/>
      <w:numFmt w:val="bullet"/>
      <w:lvlText w:val=""/>
      <w:lvlJc w:val="left"/>
      <w:pPr>
        <w:ind w:left="360" w:hanging="360"/>
      </w:pPr>
      <w:rPr>
        <w:rFonts w:ascii="Symbol" w:hAnsi="Symbol" w:hint="default"/>
      </w:rPr>
    </w:lvl>
    <w:lvl w:ilvl="1" w:tplc="7D62AA3E" w:tentative="1">
      <w:start w:val="1"/>
      <w:numFmt w:val="bullet"/>
      <w:lvlText w:val=""/>
      <w:lvlJc w:val="left"/>
      <w:pPr>
        <w:tabs>
          <w:tab w:val="num" w:pos="1440"/>
        </w:tabs>
        <w:ind w:left="1440" w:hanging="360"/>
      </w:pPr>
      <w:rPr>
        <w:rFonts w:ascii="Wingdings" w:hAnsi="Wingdings" w:hint="default"/>
      </w:rPr>
    </w:lvl>
    <w:lvl w:ilvl="2" w:tplc="AEB60440" w:tentative="1">
      <w:start w:val="1"/>
      <w:numFmt w:val="bullet"/>
      <w:lvlText w:val=""/>
      <w:lvlJc w:val="left"/>
      <w:pPr>
        <w:tabs>
          <w:tab w:val="num" w:pos="2160"/>
        </w:tabs>
        <w:ind w:left="2160" w:hanging="360"/>
      </w:pPr>
      <w:rPr>
        <w:rFonts w:ascii="Wingdings" w:hAnsi="Wingdings" w:hint="default"/>
      </w:rPr>
    </w:lvl>
    <w:lvl w:ilvl="3" w:tplc="4ABC7094" w:tentative="1">
      <w:start w:val="1"/>
      <w:numFmt w:val="bullet"/>
      <w:lvlText w:val=""/>
      <w:lvlJc w:val="left"/>
      <w:pPr>
        <w:tabs>
          <w:tab w:val="num" w:pos="2880"/>
        </w:tabs>
        <w:ind w:left="2880" w:hanging="360"/>
      </w:pPr>
      <w:rPr>
        <w:rFonts w:ascii="Wingdings" w:hAnsi="Wingdings" w:hint="default"/>
      </w:rPr>
    </w:lvl>
    <w:lvl w:ilvl="4" w:tplc="5CA45736" w:tentative="1">
      <w:start w:val="1"/>
      <w:numFmt w:val="bullet"/>
      <w:lvlText w:val=""/>
      <w:lvlJc w:val="left"/>
      <w:pPr>
        <w:tabs>
          <w:tab w:val="num" w:pos="3600"/>
        </w:tabs>
        <w:ind w:left="3600" w:hanging="360"/>
      </w:pPr>
      <w:rPr>
        <w:rFonts w:ascii="Wingdings" w:hAnsi="Wingdings" w:hint="default"/>
      </w:rPr>
    </w:lvl>
    <w:lvl w:ilvl="5" w:tplc="28F0FDE0" w:tentative="1">
      <w:start w:val="1"/>
      <w:numFmt w:val="bullet"/>
      <w:lvlText w:val=""/>
      <w:lvlJc w:val="left"/>
      <w:pPr>
        <w:tabs>
          <w:tab w:val="num" w:pos="4320"/>
        </w:tabs>
        <w:ind w:left="4320" w:hanging="360"/>
      </w:pPr>
      <w:rPr>
        <w:rFonts w:ascii="Wingdings" w:hAnsi="Wingdings" w:hint="default"/>
      </w:rPr>
    </w:lvl>
    <w:lvl w:ilvl="6" w:tplc="30DA9E32" w:tentative="1">
      <w:start w:val="1"/>
      <w:numFmt w:val="bullet"/>
      <w:lvlText w:val=""/>
      <w:lvlJc w:val="left"/>
      <w:pPr>
        <w:tabs>
          <w:tab w:val="num" w:pos="5040"/>
        </w:tabs>
        <w:ind w:left="5040" w:hanging="360"/>
      </w:pPr>
      <w:rPr>
        <w:rFonts w:ascii="Wingdings" w:hAnsi="Wingdings" w:hint="default"/>
      </w:rPr>
    </w:lvl>
    <w:lvl w:ilvl="7" w:tplc="89C4B132" w:tentative="1">
      <w:start w:val="1"/>
      <w:numFmt w:val="bullet"/>
      <w:lvlText w:val=""/>
      <w:lvlJc w:val="left"/>
      <w:pPr>
        <w:tabs>
          <w:tab w:val="num" w:pos="5760"/>
        </w:tabs>
        <w:ind w:left="5760" w:hanging="360"/>
      </w:pPr>
      <w:rPr>
        <w:rFonts w:ascii="Wingdings" w:hAnsi="Wingdings" w:hint="default"/>
      </w:rPr>
    </w:lvl>
    <w:lvl w:ilvl="8" w:tplc="44A0FD5A" w:tentative="1">
      <w:start w:val="1"/>
      <w:numFmt w:val="bullet"/>
      <w:lvlText w:val=""/>
      <w:lvlJc w:val="left"/>
      <w:pPr>
        <w:tabs>
          <w:tab w:val="num" w:pos="6480"/>
        </w:tabs>
        <w:ind w:left="6480" w:hanging="360"/>
      </w:pPr>
      <w:rPr>
        <w:rFonts w:ascii="Wingdings" w:hAnsi="Wingdings" w:hint="default"/>
      </w:rPr>
    </w:lvl>
  </w:abstractNum>
  <w:abstractNum w:abstractNumId="30">
    <w:nsid w:val="68C9336E"/>
    <w:multiLevelType w:val="hybridMultilevel"/>
    <w:tmpl w:val="CF2E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53D39"/>
    <w:multiLevelType w:val="hybridMultilevel"/>
    <w:tmpl w:val="D3C25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161CF"/>
    <w:multiLevelType w:val="hybridMultilevel"/>
    <w:tmpl w:val="CA34E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83E96"/>
    <w:multiLevelType w:val="hybridMultilevel"/>
    <w:tmpl w:val="98989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1F48044" w:tentative="1">
      <w:start w:val="1"/>
      <w:numFmt w:val="bullet"/>
      <w:lvlText w:val="•"/>
      <w:lvlJc w:val="left"/>
      <w:pPr>
        <w:tabs>
          <w:tab w:val="num" w:pos="2160"/>
        </w:tabs>
        <w:ind w:left="2160" w:hanging="360"/>
      </w:pPr>
      <w:rPr>
        <w:rFonts w:ascii="Arial" w:hAnsi="Arial" w:hint="default"/>
      </w:rPr>
    </w:lvl>
    <w:lvl w:ilvl="3" w:tplc="0EE24142" w:tentative="1">
      <w:start w:val="1"/>
      <w:numFmt w:val="bullet"/>
      <w:lvlText w:val="•"/>
      <w:lvlJc w:val="left"/>
      <w:pPr>
        <w:tabs>
          <w:tab w:val="num" w:pos="2880"/>
        </w:tabs>
        <w:ind w:left="2880" w:hanging="360"/>
      </w:pPr>
      <w:rPr>
        <w:rFonts w:ascii="Arial" w:hAnsi="Arial" w:hint="default"/>
      </w:rPr>
    </w:lvl>
    <w:lvl w:ilvl="4" w:tplc="EFB4798A" w:tentative="1">
      <w:start w:val="1"/>
      <w:numFmt w:val="bullet"/>
      <w:lvlText w:val="•"/>
      <w:lvlJc w:val="left"/>
      <w:pPr>
        <w:tabs>
          <w:tab w:val="num" w:pos="3600"/>
        </w:tabs>
        <w:ind w:left="3600" w:hanging="360"/>
      </w:pPr>
      <w:rPr>
        <w:rFonts w:ascii="Arial" w:hAnsi="Arial" w:hint="default"/>
      </w:rPr>
    </w:lvl>
    <w:lvl w:ilvl="5" w:tplc="0CB2477A" w:tentative="1">
      <w:start w:val="1"/>
      <w:numFmt w:val="bullet"/>
      <w:lvlText w:val="•"/>
      <w:lvlJc w:val="left"/>
      <w:pPr>
        <w:tabs>
          <w:tab w:val="num" w:pos="4320"/>
        </w:tabs>
        <w:ind w:left="4320" w:hanging="360"/>
      </w:pPr>
      <w:rPr>
        <w:rFonts w:ascii="Arial" w:hAnsi="Arial" w:hint="default"/>
      </w:rPr>
    </w:lvl>
    <w:lvl w:ilvl="6" w:tplc="85B27896" w:tentative="1">
      <w:start w:val="1"/>
      <w:numFmt w:val="bullet"/>
      <w:lvlText w:val="•"/>
      <w:lvlJc w:val="left"/>
      <w:pPr>
        <w:tabs>
          <w:tab w:val="num" w:pos="5040"/>
        </w:tabs>
        <w:ind w:left="5040" w:hanging="360"/>
      </w:pPr>
      <w:rPr>
        <w:rFonts w:ascii="Arial" w:hAnsi="Arial" w:hint="default"/>
      </w:rPr>
    </w:lvl>
    <w:lvl w:ilvl="7" w:tplc="A950E65C" w:tentative="1">
      <w:start w:val="1"/>
      <w:numFmt w:val="bullet"/>
      <w:lvlText w:val="•"/>
      <w:lvlJc w:val="left"/>
      <w:pPr>
        <w:tabs>
          <w:tab w:val="num" w:pos="5760"/>
        </w:tabs>
        <w:ind w:left="5760" w:hanging="360"/>
      </w:pPr>
      <w:rPr>
        <w:rFonts w:ascii="Arial" w:hAnsi="Arial" w:hint="default"/>
      </w:rPr>
    </w:lvl>
    <w:lvl w:ilvl="8" w:tplc="DCAC3304" w:tentative="1">
      <w:start w:val="1"/>
      <w:numFmt w:val="bullet"/>
      <w:lvlText w:val="•"/>
      <w:lvlJc w:val="left"/>
      <w:pPr>
        <w:tabs>
          <w:tab w:val="num" w:pos="6480"/>
        </w:tabs>
        <w:ind w:left="6480" w:hanging="360"/>
      </w:pPr>
      <w:rPr>
        <w:rFonts w:ascii="Arial" w:hAnsi="Arial" w:hint="default"/>
      </w:rPr>
    </w:lvl>
  </w:abstractNum>
  <w:abstractNum w:abstractNumId="34">
    <w:nsid w:val="71D4133D"/>
    <w:multiLevelType w:val="hybridMultilevel"/>
    <w:tmpl w:val="0D280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B95890"/>
    <w:multiLevelType w:val="hybridMultilevel"/>
    <w:tmpl w:val="7E0CF8D2"/>
    <w:lvl w:ilvl="0" w:tplc="F326912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1F48044" w:tentative="1">
      <w:start w:val="1"/>
      <w:numFmt w:val="bullet"/>
      <w:lvlText w:val="•"/>
      <w:lvlJc w:val="left"/>
      <w:pPr>
        <w:tabs>
          <w:tab w:val="num" w:pos="2160"/>
        </w:tabs>
        <w:ind w:left="2160" w:hanging="360"/>
      </w:pPr>
      <w:rPr>
        <w:rFonts w:ascii="Arial" w:hAnsi="Arial" w:hint="default"/>
      </w:rPr>
    </w:lvl>
    <w:lvl w:ilvl="3" w:tplc="0EE24142" w:tentative="1">
      <w:start w:val="1"/>
      <w:numFmt w:val="bullet"/>
      <w:lvlText w:val="•"/>
      <w:lvlJc w:val="left"/>
      <w:pPr>
        <w:tabs>
          <w:tab w:val="num" w:pos="2880"/>
        </w:tabs>
        <w:ind w:left="2880" w:hanging="360"/>
      </w:pPr>
      <w:rPr>
        <w:rFonts w:ascii="Arial" w:hAnsi="Arial" w:hint="default"/>
      </w:rPr>
    </w:lvl>
    <w:lvl w:ilvl="4" w:tplc="EFB4798A" w:tentative="1">
      <w:start w:val="1"/>
      <w:numFmt w:val="bullet"/>
      <w:lvlText w:val="•"/>
      <w:lvlJc w:val="left"/>
      <w:pPr>
        <w:tabs>
          <w:tab w:val="num" w:pos="3600"/>
        </w:tabs>
        <w:ind w:left="3600" w:hanging="360"/>
      </w:pPr>
      <w:rPr>
        <w:rFonts w:ascii="Arial" w:hAnsi="Arial" w:hint="default"/>
      </w:rPr>
    </w:lvl>
    <w:lvl w:ilvl="5" w:tplc="0CB2477A" w:tentative="1">
      <w:start w:val="1"/>
      <w:numFmt w:val="bullet"/>
      <w:lvlText w:val="•"/>
      <w:lvlJc w:val="left"/>
      <w:pPr>
        <w:tabs>
          <w:tab w:val="num" w:pos="4320"/>
        </w:tabs>
        <w:ind w:left="4320" w:hanging="360"/>
      </w:pPr>
      <w:rPr>
        <w:rFonts w:ascii="Arial" w:hAnsi="Arial" w:hint="default"/>
      </w:rPr>
    </w:lvl>
    <w:lvl w:ilvl="6" w:tplc="85B27896" w:tentative="1">
      <w:start w:val="1"/>
      <w:numFmt w:val="bullet"/>
      <w:lvlText w:val="•"/>
      <w:lvlJc w:val="left"/>
      <w:pPr>
        <w:tabs>
          <w:tab w:val="num" w:pos="5040"/>
        </w:tabs>
        <w:ind w:left="5040" w:hanging="360"/>
      </w:pPr>
      <w:rPr>
        <w:rFonts w:ascii="Arial" w:hAnsi="Arial" w:hint="default"/>
      </w:rPr>
    </w:lvl>
    <w:lvl w:ilvl="7" w:tplc="A950E65C" w:tentative="1">
      <w:start w:val="1"/>
      <w:numFmt w:val="bullet"/>
      <w:lvlText w:val="•"/>
      <w:lvlJc w:val="left"/>
      <w:pPr>
        <w:tabs>
          <w:tab w:val="num" w:pos="5760"/>
        </w:tabs>
        <w:ind w:left="5760" w:hanging="360"/>
      </w:pPr>
      <w:rPr>
        <w:rFonts w:ascii="Arial" w:hAnsi="Arial" w:hint="default"/>
      </w:rPr>
    </w:lvl>
    <w:lvl w:ilvl="8" w:tplc="DCAC3304" w:tentative="1">
      <w:start w:val="1"/>
      <w:numFmt w:val="bullet"/>
      <w:lvlText w:val="•"/>
      <w:lvlJc w:val="left"/>
      <w:pPr>
        <w:tabs>
          <w:tab w:val="num" w:pos="6480"/>
        </w:tabs>
        <w:ind w:left="6480" w:hanging="360"/>
      </w:pPr>
      <w:rPr>
        <w:rFonts w:ascii="Arial" w:hAnsi="Arial" w:hint="default"/>
      </w:rPr>
    </w:lvl>
  </w:abstractNum>
  <w:abstractNum w:abstractNumId="36">
    <w:nsid w:val="7F5D5466"/>
    <w:multiLevelType w:val="hybridMultilevel"/>
    <w:tmpl w:val="246C9B5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7"/>
  </w:num>
  <w:num w:numId="3">
    <w:abstractNumId w:val="21"/>
  </w:num>
  <w:num w:numId="4">
    <w:abstractNumId w:val="29"/>
  </w:num>
  <w:num w:numId="5">
    <w:abstractNumId w:val="28"/>
  </w:num>
  <w:num w:numId="6">
    <w:abstractNumId w:val="10"/>
  </w:num>
  <w:num w:numId="7">
    <w:abstractNumId w:val="31"/>
  </w:num>
  <w:num w:numId="8">
    <w:abstractNumId w:val="27"/>
  </w:num>
  <w:num w:numId="9">
    <w:abstractNumId w:val="14"/>
  </w:num>
  <w:num w:numId="10">
    <w:abstractNumId w:val="0"/>
  </w:num>
  <w:num w:numId="11">
    <w:abstractNumId w:val="4"/>
  </w:num>
  <w:num w:numId="12">
    <w:abstractNumId w:val="20"/>
  </w:num>
  <w:num w:numId="13">
    <w:abstractNumId w:val="18"/>
  </w:num>
  <w:num w:numId="14">
    <w:abstractNumId w:val="35"/>
  </w:num>
  <w:num w:numId="15">
    <w:abstractNumId w:val="30"/>
  </w:num>
  <w:num w:numId="16">
    <w:abstractNumId w:val="33"/>
  </w:num>
  <w:num w:numId="17">
    <w:abstractNumId w:val="5"/>
  </w:num>
  <w:num w:numId="18">
    <w:abstractNumId w:val="1"/>
  </w:num>
  <w:num w:numId="19">
    <w:abstractNumId w:val="26"/>
  </w:num>
  <w:num w:numId="20">
    <w:abstractNumId w:val="25"/>
  </w:num>
  <w:num w:numId="21">
    <w:abstractNumId w:val="2"/>
  </w:num>
  <w:num w:numId="22">
    <w:abstractNumId w:val="32"/>
  </w:num>
  <w:num w:numId="23">
    <w:abstractNumId w:val="23"/>
  </w:num>
  <w:num w:numId="24">
    <w:abstractNumId w:val="7"/>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3"/>
  </w:num>
  <w:num w:numId="29">
    <w:abstractNumId w:val="34"/>
  </w:num>
  <w:num w:numId="30">
    <w:abstractNumId w:val="15"/>
  </w:num>
  <w:num w:numId="31">
    <w:abstractNumId w:val="12"/>
  </w:num>
  <w:num w:numId="32">
    <w:abstractNumId w:val="13"/>
  </w:num>
  <w:num w:numId="33">
    <w:abstractNumId w:val="16"/>
  </w:num>
  <w:num w:numId="34">
    <w:abstractNumId w:val="9"/>
  </w:num>
  <w:num w:numId="35">
    <w:abstractNumId w:val="8"/>
  </w:num>
  <w:num w:numId="36">
    <w:abstractNumId w:val="11"/>
  </w:num>
  <w:num w:numId="37">
    <w:abstractNumId w:val="22"/>
  </w:num>
  <w:num w:numId="3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well Bruku Dapaah">
    <w15:presenceInfo w15:providerId="AD" w15:userId="S-1-5-21-88094858-919529-1617787245-389855"/>
  </w15:person>
  <w15:person w15:author="Timothy Grant Evans">
    <w15:presenceInfo w15:providerId="AD" w15:userId="S-1-5-21-88094858-919529-1617787245-432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529B"/>
    <w:rsid w:val="0000118E"/>
    <w:rsid w:val="000015C7"/>
    <w:rsid w:val="000026E4"/>
    <w:rsid w:val="000027D5"/>
    <w:rsid w:val="000041F2"/>
    <w:rsid w:val="00007F18"/>
    <w:rsid w:val="00012DA1"/>
    <w:rsid w:val="0001682F"/>
    <w:rsid w:val="000227EF"/>
    <w:rsid w:val="00027BDC"/>
    <w:rsid w:val="000318D1"/>
    <w:rsid w:val="0003222E"/>
    <w:rsid w:val="00036DB2"/>
    <w:rsid w:val="00045BCB"/>
    <w:rsid w:val="000515E0"/>
    <w:rsid w:val="00052A1F"/>
    <w:rsid w:val="00053B44"/>
    <w:rsid w:val="000552AD"/>
    <w:rsid w:val="00055501"/>
    <w:rsid w:val="000630E2"/>
    <w:rsid w:val="000645C3"/>
    <w:rsid w:val="000709B8"/>
    <w:rsid w:val="00073F23"/>
    <w:rsid w:val="00086298"/>
    <w:rsid w:val="0009158D"/>
    <w:rsid w:val="000917E3"/>
    <w:rsid w:val="000941DE"/>
    <w:rsid w:val="00096474"/>
    <w:rsid w:val="000A3975"/>
    <w:rsid w:val="000A4988"/>
    <w:rsid w:val="000A534A"/>
    <w:rsid w:val="000B54DC"/>
    <w:rsid w:val="000C061B"/>
    <w:rsid w:val="000C13E3"/>
    <w:rsid w:val="000C4DAA"/>
    <w:rsid w:val="000C5E6E"/>
    <w:rsid w:val="000C7B2E"/>
    <w:rsid w:val="000D3860"/>
    <w:rsid w:val="000D3BDE"/>
    <w:rsid w:val="000D68B3"/>
    <w:rsid w:val="000E0C9F"/>
    <w:rsid w:val="000E3035"/>
    <w:rsid w:val="000E570D"/>
    <w:rsid w:val="000E6E51"/>
    <w:rsid w:val="000F3FE0"/>
    <w:rsid w:val="000F5804"/>
    <w:rsid w:val="001000BB"/>
    <w:rsid w:val="0010238A"/>
    <w:rsid w:val="00103121"/>
    <w:rsid w:val="00106751"/>
    <w:rsid w:val="00112700"/>
    <w:rsid w:val="001231A6"/>
    <w:rsid w:val="00123D65"/>
    <w:rsid w:val="0013096D"/>
    <w:rsid w:val="00131465"/>
    <w:rsid w:val="001321DF"/>
    <w:rsid w:val="00133897"/>
    <w:rsid w:val="001524C1"/>
    <w:rsid w:val="00155A58"/>
    <w:rsid w:val="001608EC"/>
    <w:rsid w:val="001625AC"/>
    <w:rsid w:val="001659C6"/>
    <w:rsid w:val="001664F5"/>
    <w:rsid w:val="00170062"/>
    <w:rsid w:val="00171B1E"/>
    <w:rsid w:val="0017263D"/>
    <w:rsid w:val="001774EB"/>
    <w:rsid w:val="00180CCA"/>
    <w:rsid w:val="001810A7"/>
    <w:rsid w:val="001839EF"/>
    <w:rsid w:val="0018405D"/>
    <w:rsid w:val="001911F6"/>
    <w:rsid w:val="001927AB"/>
    <w:rsid w:val="00193B58"/>
    <w:rsid w:val="001A55CA"/>
    <w:rsid w:val="001A65C3"/>
    <w:rsid w:val="001B0F0F"/>
    <w:rsid w:val="001B3DAC"/>
    <w:rsid w:val="001C6B34"/>
    <w:rsid w:val="001C7D6A"/>
    <w:rsid w:val="001E1570"/>
    <w:rsid w:val="001E1E6B"/>
    <w:rsid w:val="001E3E22"/>
    <w:rsid w:val="001E5EE0"/>
    <w:rsid w:val="001E7486"/>
    <w:rsid w:val="001F0958"/>
    <w:rsid w:val="001F5A94"/>
    <w:rsid w:val="001F751C"/>
    <w:rsid w:val="00200913"/>
    <w:rsid w:val="00201D95"/>
    <w:rsid w:val="002033C0"/>
    <w:rsid w:val="00210237"/>
    <w:rsid w:val="00211C21"/>
    <w:rsid w:val="002144A8"/>
    <w:rsid w:val="00220C5F"/>
    <w:rsid w:val="00231462"/>
    <w:rsid w:val="00240898"/>
    <w:rsid w:val="00245A0C"/>
    <w:rsid w:val="002522A1"/>
    <w:rsid w:val="002530AC"/>
    <w:rsid w:val="002540CF"/>
    <w:rsid w:val="00256F8D"/>
    <w:rsid w:val="002646E1"/>
    <w:rsid w:val="002653FD"/>
    <w:rsid w:val="00270D39"/>
    <w:rsid w:val="00271D8D"/>
    <w:rsid w:val="00274501"/>
    <w:rsid w:val="0028235E"/>
    <w:rsid w:val="00282A51"/>
    <w:rsid w:val="00285B92"/>
    <w:rsid w:val="002862BA"/>
    <w:rsid w:val="00287829"/>
    <w:rsid w:val="00291C90"/>
    <w:rsid w:val="00297E22"/>
    <w:rsid w:val="002A00C6"/>
    <w:rsid w:val="002A0815"/>
    <w:rsid w:val="002A1CB4"/>
    <w:rsid w:val="002A561C"/>
    <w:rsid w:val="002A58F0"/>
    <w:rsid w:val="002A651D"/>
    <w:rsid w:val="002A6977"/>
    <w:rsid w:val="002A7F33"/>
    <w:rsid w:val="002B03DD"/>
    <w:rsid w:val="002B6A83"/>
    <w:rsid w:val="002C21DB"/>
    <w:rsid w:val="002C2ADB"/>
    <w:rsid w:val="002C4F5D"/>
    <w:rsid w:val="002C55FD"/>
    <w:rsid w:val="002D09A3"/>
    <w:rsid w:val="002D28DD"/>
    <w:rsid w:val="002D5D40"/>
    <w:rsid w:val="002E1595"/>
    <w:rsid w:val="002E1663"/>
    <w:rsid w:val="002E2BD3"/>
    <w:rsid w:val="002E31A3"/>
    <w:rsid w:val="002E40C7"/>
    <w:rsid w:val="002F3716"/>
    <w:rsid w:val="00300148"/>
    <w:rsid w:val="003015AB"/>
    <w:rsid w:val="003032E6"/>
    <w:rsid w:val="0030388B"/>
    <w:rsid w:val="00312DC2"/>
    <w:rsid w:val="00314174"/>
    <w:rsid w:val="00323365"/>
    <w:rsid w:val="00323E25"/>
    <w:rsid w:val="00324C3E"/>
    <w:rsid w:val="00326F2F"/>
    <w:rsid w:val="00327DAA"/>
    <w:rsid w:val="00331432"/>
    <w:rsid w:val="00334A9E"/>
    <w:rsid w:val="00340FB8"/>
    <w:rsid w:val="00343ED1"/>
    <w:rsid w:val="00345F81"/>
    <w:rsid w:val="0034679A"/>
    <w:rsid w:val="00347384"/>
    <w:rsid w:val="00347F42"/>
    <w:rsid w:val="00352985"/>
    <w:rsid w:val="003537B0"/>
    <w:rsid w:val="00353BE9"/>
    <w:rsid w:val="00361F5E"/>
    <w:rsid w:val="00364C33"/>
    <w:rsid w:val="00364C5A"/>
    <w:rsid w:val="00366CC7"/>
    <w:rsid w:val="00370115"/>
    <w:rsid w:val="00371632"/>
    <w:rsid w:val="00372FB8"/>
    <w:rsid w:val="0037453B"/>
    <w:rsid w:val="00374867"/>
    <w:rsid w:val="0038031A"/>
    <w:rsid w:val="00381171"/>
    <w:rsid w:val="00381B6F"/>
    <w:rsid w:val="0038403C"/>
    <w:rsid w:val="00384D62"/>
    <w:rsid w:val="00395372"/>
    <w:rsid w:val="00395D9F"/>
    <w:rsid w:val="003A1B3F"/>
    <w:rsid w:val="003A7406"/>
    <w:rsid w:val="003B31B6"/>
    <w:rsid w:val="003B347E"/>
    <w:rsid w:val="003B560B"/>
    <w:rsid w:val="003B7C68"/>
    <w:rsid w:val="003C0DDA"/>
    <w:rsid w:val="003C32DF"/>
    <w:rsid w:val="003D0202"/>
    <w:rsid w:val="003D0AEC"/>
    <w:rsid w:val="003D28E6"/>
    <w:rsid w:val="003D3BCC"/>
    <w:rsid w:val="003D6ECB"/>
    <w:rsid w:val="003D7096"/>
    <w:rsid w:val="003E0364"/>
    <w:rsid w:val="003E2105"/>
    <w:rsid w:val="003E382F"/>
    <w:rsid w:val="003E3B55"/>
    <w:rsid w:val="003E624F"/>
    <w:rsid w:val="003F068B"/>
    <w:rsid w:val="003F218F"/>
    <w:rsid w:val="003F3E37"/>
    <w:rsid w:val="003F7B69"/>
    <w:rsid w:val="004002AE"/>
    <w:rsid w:val="00402824"/>
    <w:rsid w:val="00407D3F"/>
    <w:rsid w:val="00412283"/>
    <w:rsid w:val="004122CB"/>
    <w:rsid w:val="00413BC5"/>
    <w:rsid w:val="00414B88"/>
    <w:rsid w:val="00416297"/>
    <w:rsid w:val="004167ED"/>
    <w:rsid w:val="00425196"/>
    <w:rsid w:val="004260A8"/>
    <w:rsid w:val="00434A23"/>
    <w:rsid w:val="00443B8E"/>
    <w:rsid w:val="00443EAB"/>
    <w:rsid w:val="004441CC"/>
    <w:rsid w:val="00446D02"/>
    <w:rsid w:val="0045598F"/>
    <w:rsid w:val="00466B64"/>
    <w:rsid w:val="0047073E"/>
    <w:rsid w:val="00470A18"/>
    <w:rsid w:val="00470C87"/>
    <w:rsid w:val="00481373"/>
    <w:rsid w:val="00481877"/>
    <w:rsid w:val="00483F58"/>
    <w:rsid w:val="00486838"/>
    <w:rsid w:val="00487108"/>
    <w:rsid w:val="00487D41"/>
    <w:rsid w:val="00497D53"/>
    <w:rsid w:val="004A3DB1"/>
    <w:rsid w:val="004A6F20"/>
    <w:rsid w:val="004B3BC2"/>
    <w:rsid w:val="004B704E"/>
    <w:rsid w:val="004B7EDD"/>
    <w:rsid w:val="004C0834"/>
    <w:rsid w:val="004C19D4"/>
    <w:rsid w:val="004C214E"/>
    <w:rsid w:val="004C53D9"/>
    <w:rsid w:val="004D2BCC"/>
    <w:rsid w:val="004D3E84"/>
    <w:rsid w:val="004D45C5"/>
    <w:rsid w:val="004D48A1"/>
    <w:rsid w:val="004D5CF4"/>
    <w:rsid w:val="004E1966"/>
    <w:rsid w:val="004E1B55"/>
    <w:rsid w:val="004E2291"/>
    <w:rsid w:val="004E7420"/>
    <w:rsid w:val="004F03EC"/>
    <w:rsid w:val="004F13DE"/>
    <w:rsid w:val="004F1DAE"/>
    <w:rsid w:val="004F2BBB"/>
    <w:rsid w:val="004F6CD6"/>
    <w:rsid w:val="004F75BC"/>
    <w:rsid w:val="0050249E"/>
    <w:rsid w:val="00503A14"/>
    <w:rsid w:val="00506F22"/>
    <w:rsid w:val="005118E2"/>
    <w:rsid w:val="005125C4"/>
    <w:rsid w:val="00513399"/>
    <w:rsid w:val="005159BA"/>
    <w:rsid w:val="00515BA7"/>
    <w:rsid w:val="005220CE"/>
    <w:rsid w:val="005254EB"/>
    <w:rsid w:val="005302C1"/>
    <w:rsid w:val="005317EC"/>
    <w:rsid w:val="005329AC"/>
    <w:rsid w:val="00533FCE"/>
    <w:rsid w:val="00544E4D"/>
    <w:rsid w:val="00546C39"/>
    <w:rsid w:val="00552746"/>
    <w:rsid w:val="00557CD7"/>
    <w:rsid w:val="005632C8"/>
    <w:rsid w:val="00563595"/>
    <w:rsid w:val="005648F5"/>
    <w:rsid w:val="00573486"/>
    <w:rsid w:val="00581C2E"/>
    <w:rsid w:val="005855DD"/>
    <w:rsid w:val="00586478"/>
    <w:rsid w:val="0058735B"/>
    <w:rsid w:val="005950F6"/>
    <w:rsid w:val="00596501"/>
    <w:rsid w:val="005A0E43"/>
    <w:rsid w:val="005A1C25"/>
    <w:rsid w:val="005A2F3C"/>
    <w:rsid w:val="005B0672"/>
    <w:rsid w:val="005B1150"/>
    <w:rsid w:val="005B3E77"/>
    <w:rsid w:val="005C0D72"/>
    <w:rsid w:val="005C193F"/>
    <w:rsid w:val="005C32BE"/>
    <w:rsid w:val="005C4F1C"/>
    <w:rsid w:val="005C711E"/>
    <w:rsid w:val="005D423D"/>
    <w:rsid w:val="005D4B36"/>
    <w:rsid w:val="005D5CA2"/>
    <w:rsid w:val="005E2A53"/>
    <w:rsid w:val="005E2B46"/>
    <w:rsid w:val="005E6059"/>
    <w:rsid w:val="005E6DFD"/>
    <w:rsid w:val="005F1804"/>
    <w:rsid w:val="005F2A7E"/>
    <w:rsid w:val="005F666B"/>
    <w:rsid w:val="005F6CF4"/>
    <w:rsid w:val="00604098"/>
    <w:rsid w:val="006075BA"/>
    <w:rsid w:val="00610739"/>
    <w:rsid w:val="0061476F"/>
    <w:rsid w:val="0061544E"/>
    <w:rsid w:val="006170DA"/>
    <w:rsid w:val="00617948"/>
    <w:rsid w:val="00630370"/>
    <w:rsid w:val="0063263A"/>
    <w:rsid w:val="006360CF"/>
    <w:rsid w:val="00637DD0"/>
    <w:rsid w:val="00637EC2"/>
    <w:rsid w:val="00641815"/>
    <w:rsid w:val="0064528E"/>
    <w:rsid w:val="00653E82"/>
    <w:rsid w:val="006726BD"/>
    <w:rsid w:val="00672831"/>
    <w:rsid w:val="00673E2E"/>
    <w:rsid w:val="0067417F"/>
    <w:rsid w:val="006806DE"/>
    <w:rsid w:val="00682E80"/>
    <w:rsid w:val="006832EA"/>
    <w:rsid w:val="006842E8"/>
    <w:rsid w:val="00692734"/>
    <w:rsid w:val="00694447"/>
    <w:rsid w:val="00694795"/>
    <w:rsid w:val="006953A5"/>
    <w:rsid w:val="006A5A66"/>
    <w:rsid w:val="006B1C7E"/>
    <w:rsid w:val="006B5781"/>
    <w:rsid w:val="006B61F4"/>
    <w:rsid w:val="006B7459"/>
    <w:rsid w:val="006C7C43"/>
    <w:rsid w:val="006D095D"/>
    <w:rsid w:val="006D1BAB"/>
    <w:rsid w:val="006D368E"/>
    <w:rsid w:val="006F6FAC"/>
    <w:rsid w:val="006F7703"/>
    <w:rsid w:val="0070285A"/>
    <w:rsid w:val="00705D68"/>
    <w:rsid w:val="00706453"/>
    <w:rsid w:val="007115E0"/>
    <w:rsid w:val="00715324"/>
    <w:rsid w:val="007160E8"/>
    <w:rsid w:val="00717380"/>
    <w:rsid w:val="007176BC"/>
    <w:rsid w:val="007232AD"/>
    <w:rsid w:val="00724196"/>
    <w:rsid w:val="0072577C"/>
    <w:rsid w:val="00727FDE"/>
    <w:rsid w:val="00730653"/>
    <w:rsid w:val="00733D8F"/>
    <w:rsid w:val="00737F85"/>
    <w:rsid w:val="00742E18"/>
    <w:rsid w:val="007445E1"/>
    <w:rsid w:val="007501CB"/>
    <w:rsid w:val="0075223C"/>
    <w:rsid w:val="0075349D"/>
    <w:rsid w:val="00757B6A"/>
    <w:rsid w:val="00761253"/>
    <w:rsid w:val="00761E11"/>
    <w:rsid w:val="0076477F"/>
    <w:rsid w:val="0076774C"/>
    <w:rsid w:val="007724A9"/>
    <w:rsid w:val="0077463C"/>
    <w:rsid w:val="00775872"/>
    <w:rsid w:val="0078652F"/>
    <w:rsid w:val="00786EE2"/>
    <w:rsid w:val="007A37BD"/>
    <w:rsid w:val="007B097A"/>
    <w:rsid w:val="007B4152"/>
    <w:rsid w:val="007B720B"/>
    <w:rsid w:val="007C5A40"/>
    <w:rsid w:val="007C64EC"/>
    <w:rsid w:val="007C6BCA"/>
    <w:rsid w:val="007D1E5F"/>
    <w:rsid w:val="007D38FA"/>
    <w:rsid w:val="007D664F"/>
    <w:rsid w:val="007D74D3"/>
    <w:rsid w:val="007E0A93"/>
    <w:rsid w:val="007E7BB3"/>
    <w:rsid w:val="007F1F5E"/>
    <w:rsid w:val="007F5F61"/>
    <w:rsid w:val="007F7006"/>
    <w:rsid w:val="008004D7"/>
    <w:rsid w:val="00803D57"/>
    <w:rsid w:val="00805A20"/>
    <w:rsid w:val="00805D99"/>
    <w:rsid w:val="00814529"/>
    <w:rsid w:val="00825C83"/>
    <w:rsid w:val="00835B6C"/>
    <w:rsid w:val="008363CD"/>
    <w:rsid w:val="008400A4"/>
    <w:rsid w:val="00843D07"/>
    <w:rsid w:val="008462A5"/>
    <w:rsid w:val="008519A6"/>
    <w:rsid w:val="00855354"/>
    <w:rsid w:val="0085544A"/>
    <w:rsid w:val="0085738B"/>
    <w:rsid w:val="00860C20"/>
    <w:rsid w:val="008629B1"/>
    <w:rsid w:val="0086504C"/>
    <w:rsid w:val="008716F1"/>
    <w:rsid w:val="0087554C"/>
    <w:rsid w:val="008777BA"/>
    <w:rsid w:val="00884829"/>
    <w:rsid w:val="00885887"/>
    <w:rsid w:val="00894B48"/>
    <w:rsid w:val="008A054A"/>
    <w:rsid w:val="008A5BB5"/>
    <w:rsid w:val="008A5E51"/>
    <w:rsid w:val="008B24D3"/>
    <w:rsid w:val="008B2B82"/>
    <w:rsid w:val="008B443E"/>
    <w:rsid w:val="008B529B"/>
    <w:rsid w:val="008B7F68"/>
    <w:rsid w:val="008D2190"/>
    <w:rsid w:val="008D28B9"/>
    <w:rsid w:val="008D651D"/>
    <w:rsid w:val="008D6B6C"/>
    <w:rsid w:val="008D6E87"/>
    <w:rsid w:val="008D706C"/>
    <w:rsid w:val="008E0A44"/>
    <w:rsid w:val="008E33E3"/>
    <w:rsid w:val="008E4651"/>
    <w:rsid w:val="008F1C27"/>
    <w:rsid w:val="008F7ABE"/>
    <w:rsid w:val="00900049"/>
    <w:rsid w:val="009030B2"/>
    <w:rsid w:val="009114F8"/>
    <w:rsid w:val="00913FA3"/>
    <w:rsid w:val="00916164"/>
    <w:rsid w:val="00920D7D"/>
    <w:rsid w:val="00924342"/>
    <w:rsid w:val="00934934"/>
    <w:rsid w:val="0094060E"/>
    <w:rsid w:val="009415CA"/>
    <w:rsid w:val="009454B7"/>
    <w:rsid w:val="009460D5"/>
    <w:rsid w:val="00953FB9"/>
    <w:rsid w:val="00957D72"/>
    <w:rsid w:val="00963599"/>
    <w:rsid w:val="00963A6F"/>
    <w:rsid w:val="00971136"/>
    <w:rsid w:val="009741E1"/>
    <w:rsid w:val="00974470"/>
    <w:rsid w:val="00976F77"/>
    <w:rsid w:val="009815E3"/>
    <w:rsid w:val="00987D11"/>
    <w:rsid w:val="009909A4"/>
    <w:rsid w:val="00993D01"/>
    <w:rsid w:val="009A1573"/>
    <w:rsid w:val="009A1671"/>
    <w:rsid w:val="009C1B4C"/>
    <w:rsid w:val="009C37E4"/>
    <w:rsid w:val="009C45DA"/>
    <w:rsid w:val="009C6178"/>
    <w:rsid w:val="009D32BE"/>
    <w:rsid w:val="009D5EDF"/>
    <w:rsid w:val="009D73E2"/>
    <w:rsid w:val="009E2857"/>
    <w:rsid w:val="009E33A3"/>
    <w:rsid w:val="009E475A"/>
    <w:rsid w:val="009E4E91"/>
    <w:rsid w:val="009E6FFB"/>
    <w:rsid w:val="009F3743"/>
    <w:rsid w:val="009F4F41"/>
    <w:rsid w:val="009F614E"/>
    <w:rsid w:val="009F65C3"/>
    <w:rsid w:val="00A034F3"/>
    <w:rsid w:val="00A06FB7"/>
    <w:rsid w:val="00A11437"/>
    <w:rsid w:val="00A21DAA"/>
    <w:rsid w:val="00A32773"/>
    <w:rsid w:val="00A3313A"/>
    <w:rsid w:val="00A41D56"/>
    <w:rsid w:val="00A44DF9"/>
    <w:rsid w:val="00A5165F"/>
    <w:rsid w:val="00A54BD8"/>
    <w:rsid w:val="00A5589D"/>
    <w:rsid w:val="00A63491"/>
    <w:rsid w:val="00A7182E"/>
    <w:rsid w:val="00A74277"/>
    <w:rsid w:val="00A74812"/>
    <w:rsid w:val="00A74AF6"/>
    <w:rsid w:val="00A74D7D"/>
    <w:rsid w:val="00A755B1"/>
    <w:rsid w:val="00A756EC"/>
    <w:rsid w:val="00A80E9E"/>
    <w:rsid w:val="00A827C9"/>
    <w:rsid w:val="00A87DBE"/>
    <w:rsid w:val="00A930B2"/>
    <w:rsid w:val="00A93608"/>
    <w:rsid w:val="00A94E8D"/>
    <w:rsid w:val="00A95B68"/>
    <w:rsid w:val="00A9623D"/>
    <w:rsid w:val="00A96B0C"/>
    <w:rsid w:val="00AA0993"/>
    <w:rsid w:val="00AA3889"/>
    <w:rsid w:val="00AA6CA5"/>
    <w:rsid w:val="00AA78B2"/>
    <w:rsid w:val="00AB10B1"/>
    <w:rsid w:val="00AB20D8"/>
    <w:rsid w:val="00AB265D"/>
    <w:rsid w:val="00AB3736"/>
    <w:rsid w:val="00AB7674"/>
    <w:rsid w:val="00AB7969"/>
    <w:rsid w:val="00AC1A93"/>
    <w:rsid w:val="00AC2549"/>
    <w:rsid w:val="00AC4AD2"/>
    <w:rsid w:val="00AC5429"/>
    <w:rsid w:val="00AD03CF"/>
    <w:rsid w:val="00AD1FC5"/>
    <w:rsid w:val="00AD2011"/>
    <w:rsid w:val="00AD4F7C"/>
    <w:rsid w:val="00AE7D3E"/>
    <w:rsid w:val="00AF025C"/>
    <w:rsid w:val="00AF27F5"/>
    <w:rsid w:val="00AF3121"/>
    <w:rsid w:val="00AF6E35"/>
    <w:rsid w:val="00B0066D"/>
    <w:rsid w:val="00B0656C"/>
    <w:rsid w:val="00B07008"/>
    <w:rsid w:val="00B07ED7"/>
    <w:rsid w:val="00B11E27"/>
    <w:rsid w:val="00B1415C"/>
    <w:rsid w:val="00B17AB1"/>
    <w:rsid w:val="00B20281"/>
    <w:rsid w:val="00B22DDD"/>
    <w:rsid w:val="00B23CE5"/>
    <w:rsid w:val="00B23D7F"/>
    <w:rsid w:val="00B27902"/>
    <w:rsid w:val="00B317B7"/>
    <w:rsid w:val="00B32054"/>
    <w:rsid w:val="00B32AFF"/>
    <w:rsid w:val="00B341BC"/>
    <w:rsid w:val="00B36485"/>
    <w:rsid w:val="00B40638"/>
    <w:rsid w:val="00B454E9"/>
    <w:rsid w:val="00B460F2"/>
    <w:rsid w:val="00B47622"/>
    <w:rsid w:val="00B47B1F"/>
    <w:rsid w:val="00B506F5"/>
    <w:rsid w:val="00B507E7"/>
    <w:rsid w:val="00B660DD"/>
    <w:rsid w:val="00B67AEB"/>
    <w:rsid w:val="00B73D1C"/>
    <w:rsid w:val="00B742EA"/>
    <w:rsid w:val="00B773C1"/>
    <w:rsid w:val="00B77772"/>
    <w:rsid w:val="00B8009A"/>
    <w:rsid w:val="00B80A9C"/>
    <w:rsid w:val="00B80BDF"/>
    <w:rsid w:val="00B823D5"/>
    <w:rsid w:val="00B85592"/>
    <w:rsid w:val="00B86398"/>
    <w:rsid w:val="00B87926"/>
    <w:rsid w:val="00B92318"/>
    <w:rsid w:val="00B959BF"/>
    <w:rsid w:val="00BA1D1E"/>
    <w:rsid w:val="00BA72A9"/>
    <w:rsid w:val="00BB0C1F"/>
    <w:rsid w:val="00BB27A3"/>
    <w:rsid w:val="00BB6686"/>
    <w:rsid w:val="00BB6696"/>
    <w:rsid w:val="00BB66AD"/>
    <w:rsid w:val="00BB66BB"/>
    <w:rsid w:val="00BC3FEE"/>
    <w:rsid w:val="00BC501C"/>
    <w:rsid w:val="00BC6182"/>
    <w:rsid w:val="00BC6792"/>
    <w:rsid w:val="00BD2021"/>
    <w:rsid w:val="00BD261B"/>
    <w:rsid w:val="00BE243E"/>
    <w:rsid w:val="00BE2C7D"/>
    <w:rsid w:val="00BF2AB2"/>
    <w:rsid w:val="00BF34C2"/>
    <w:rsid w:val="00C020B6"/>
    <w:rsid w:val="00C0646D"/>
    <w:rsid w:val="00C13442"/>
    <w:rsid w:val="00C143D8"/>
    <w:rsid w:val="00C14B7E"/>
    <w:rsid w:val="00C17DD1"/>
    <w:rsid w:val="00C2120C"/>
    <w:rsid w:val="00C23169"/>
    <w:rsid w:val="00C31D8D"/>
    <w:rsid w:val="00C32A78"/>
    <w:rsid w:val="00C34CDC"/>
    <w:rsid w:val="00C3546D"/>
    <w:rsid w:val="00C35E38"/>
    <w:rsid w:val="00C36409"/>
    <w:rsid w:val="00C43905"/>
    <w:rsid w:val="00C43AB9"/>
    <w:rsid w:val="00C44471"/>
    <w:rsid w:val="00C469DA"/>
    <w:rsid w:val="00C502EA"/>
    <w:rsid w:val="00C53808"/>
    <w:rsid w:val="00C53C49"/>
    <w:rsid w:val="00C549CB"/>
    <w:rsid w:val="00C60546"/>
    <w:rsid w:val="00C61A40"/>
    <w:rsid w:val="00C62793"/>
    <w:rsid w:val="00C628AA"/>
    <w:rsid w:val="00C676A5"/>
    <w:rsid w:val="00C768BB"/>
    <w:rsid w:val="00C83790"/>
    <w:rsid w:val="00C860F5"/>
    <w:rsid w:val="00C91AB2"/>
    <w:rsid w:val="00C94E3C"/>
    <w:rsid w:val="00C94FD4"/>
    <w:rsid w:val="00C9596C"/>
    <w:rsid w:val="00CA31C4"/>
    <w:rsid w:val="00CA5159"/>
    <w:rsid w:val="00CB028D"/>
    <w:rsid w:val="00CC3147"/>
    <w:rsid w:val="00CD2A24"/>
    <w:rsid w:val="00CD5F92"/>
    <w:rsid w:val="00CE0E26"/>
    <w:rsid w:val="00CE0E5D"/>
    <w:rsid w:val="00CE3EC3"/>
    <w:rsid w:val="00CE512D"/>
    <w:rsid w:val="00CE5BF3"/>
    <w:rsid w:val="00CE7698"/>
    <w:rsid w:val="00CE7B0A"/>
    <w:rsid w:val="00CF751D"/>
    <w:rsid w:val="00D0332A"/>
    <w:rsid w:val="00D112B5"/>
    <w:rsid w:val="00D1445A"/>
    <w:rsid w:val="00D17E1C"/>
    <w:rsid w:val="00D20474"/>
    <w:rsid w:val="00D2048B"/>
    <w:rsid w:val="00D215BB"/>
    <w:rsid w:val="00D24DCD"/>
    <w:rsid w:val="00D31B53"/>
    <w:rsid w:val="00D335AA"/>
    <w:rsid w:val="00D34E75"/>
    <w:rsid w:val="00D35155"/>
    <w:rsid w:val="00D40F9A"/>
    <w:rsid w:val="00D4705D"/>
    <w:rsid w:val="00D53005"/>
    <w:rsid w:val="00D574BC"/>
    <w:rsid w:val="00D608C1"/>
    <w:rsid w:val="00D63AE5"/>
    <w:rsid w:val="00D75093"/>
    <w:rsid w:val="00D765F9"/>
    <w:rsid w:val="00D816EE"/>
    <w:rsid w:val="00D81F0A"/>
    <w:rsid w:val="00D8243B"/>
    <w:rsid w:val="00D8474F"/>
    <w:rsid w:val="00D87802"/>
    <w:rsid w:val="00D90021"/>
    <w:rsid w:val="00D90F25"/>
    <w:rsid w:val="00D92D28"/>
    <w:rsid w:val="00D94608"/>
    <w:rsid w:val="00D95CF1"/>
    <w:rsid w:val="00DA4259"/>
    <w:rsid w:val="00DA4849"/>
    <w:rsid w:val="00DA6DB9"/>
    <w:rsid w:val="00DA77E4"/>
    <w:rsid w:val="00DC54BA"/>
    <w:rsid w:val="00DC5CAE"/>
    <w:rsid w:val="00DC61D3"/>
    <w:rsid w:val="00DC742E"/>
    <w:rsid w:val="00DC7434"/>
    <w:rsid w:val="00DC7803"/>
    <w:rsid w:val="00DD516A"/>
    <w:rsid w:val="00DE224D"/>
    <w:rsid w:val="00DE26F5"/>
    <w:rsid w:val="00DE43CA"/>
    <w:rsid w:val="00DE5C89"/>
    <w:rsid w:val="00DE669B"/>
    <w:rsid w:val="00DE75B3"/>
    <w:rsid w:val="00DF01A0"/>
    <w:rsid w:val="00DF1DE6"/>
    <w:rsid w:val="00DF3C27"/>
    <w:rsid w:val="00DF5931"/>
    <w:rsid w:val="00DF772D"/>
    <w:rsid w:val="00DF79F9"/>
    <w:rsid w:val="00E018A1"/>
    <w:rsid w:val="00E02BA6"/>
    <w:rsid w:val="00E07AC6"/>
    <w:rsid w:val="00E1254E"/>
    <w:rsid w:val="00E14676"/>
    <w:rsid w:val="00E15F45"/>
    <w:rsid w:val="00E1757C"/>
    <w:rsid w:val="00E20038"/>
    <w:rsid w:val="00E34752"/>
    <w:rsid w:val="00E419A4"/>
    <w:rsid w:val="00E42AD0"/>
    <w:rsid w:val="00E43BA5"/>
    <w:rsid w:val="00E43EAC"/>
    <w:rsid w:val="00E463C3"/>
    <w:rsid w:val="00E469B1"/>
    <w:rsid w:val="00E5286A"/>
    <w:rsid w:val="00E52C84"/>
    <w:rsid w:val="00E55AB6"/>
    <w:rsid w:val="00E55E95"/>
    <w:rsid w:val="00E57BC7"/>
    <w:rsid w:val="00E57C40"/>
    <w:rsid w:val="00E6141C"/>
    <w:rsid w:val="00E670E0"/>
    <w:rsid w:val="00E67387"/>
    <w:rsid w:val="00E709E6"/>
    <w:rsid w:val="00E71CC8"/>
    <w:rsid w:val="00E810D8"/>
    <w:rsid w:val="00E823C6"/>
    <w:rsid w:val="00E92154"/>
    <w:rsid w:val="00E92968"/>
    <w:rsid w:val="00E96CB8"/>
    <w:rsid w:val="00E97D98"/>
    <w:rsid w:val="00EA0993"/>
    <w:rsid w:val="00EA4FE8"/>
    <w:rsid w:val="00EB0E76"/>
    <w:rsid w:val="00EB24AB"/>
    <w:rsid w:val="00EB45E4"/>
    <w:rsid w:val="00EB5916"/>
    <w:rsid w:val="00EB6591"/>
    <w:rsid w:val="00EB66FA"/>
    <w:rsid w:val="00EC770B"/>
    <w:rsid w:val="00ED26D4"/>
    <w:rsid w:val="00ED3C06"/>
    <w:rsid w:val="00ED4451"/>
    <w:rsid w:val="00ED6BAD"/>
    <w:rsid w:val="00EE2CB4"/>
    <w:rsid w:val="00EF1E5C"/>
    <w:rsid w:val="00EF782F"/>
    <w:rsid w:val="00F026A7"/>
    <w:rsid w:val="00F06553"/>
    <w:rsid w:val="00F101F4"/>
    <w:rsid w:val="00F13C85"/>
    <w:rsid w:val="00F15538"/>
    <w:rsid w:val="00F30BA2"/>
    <w:rsid w:val="00F32091"/>
    <w:rsid w:val="00F336D0"/>
    <w:rsid w:val="00F3694E"/>
    <w:rsid w:val="00F37A71"/>
    <w:rsid w:val="00F400C2"/>
    <w:rsid w:val="00F40A3F"/>
    <w:rsid w:val="00F41A00"/>
    <w:rsid w:val="00F4250B"/>
    <w:rsid w:val="00F46596"/>
    <w:rsid w:val="00F50CBE"/>
    <w:rsid w:val="00F5133A"/>
    <w:rsid w:val="00F515D4"/>
    <w:rsid w:val="00F5262D"/>
    <w:rsid w:val="00F55027"/>
    <w:rsid w:val="00F55ACB"/>
    <w:rsid w:val="00F57B03"/>
    <w:rsid w:val="00F57B10"/>
    <w:rsid w:val="00F63244"/>
    <w:rsid w:val="00F73281"/>
    <w:rsid w:val="00F82205"/>
    <w:rsid w:val="00F87FF6"/>
    <w:rsid w:val="00F93B9F"/>
    <w:rsid w:val="00FA16BE"/>
    <w:rsid w:val="00FA21FF"/>
    <w:rsid w:val="00FB1BC4"/>
    <w:rsid w:val="00FB2FF8"/>
    <w:rsid w:val="00FB3F4F"/>
    <w:rsid w:val="00FB5C62"/>
    <w:rsid w:val="00FB70F0"/>
    <w:rsid w:val="00FC1CD4"/>
    <w:rsid w:val="00FC2E65"/>
    <w:rsid w:val="00FC656B"/>
    <w:rsid w:val="00FD0C8C"/>
    <w:rsid w:val="00FD1939"/>
    <w:rsid w:val="00FD2627"/>
    <w:rsid w:val="00FD29F5"/>
    <w:rsid w:val="00FD51D8"/>
    <w:rsid w:val="00FD5E59"/>
    <w:rsid w:val="00FE0A35"/>
    <w:rsid w:val="00FF1890"/>
    <w:rsid w:val="00FF1984"/>
    <w:rsid w:val="00FF5531"/>
    <w:rsid w:val="00FF725A"/>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29B"/>
  </w:style>
  <w:style w:type="paragraph" w:styleId="FootnoteText">
    <w:name w:val="footnote text"/>
    <w:basedOn w:val="Normal"/>
    <w:link w:val="FootnoteTextChar"/>
    <w:uiPriority w:val="99"/>
    <w:unhideWhenUsed/>
    <w:rsid w:val="008B529B"/>
    <w:pPr>
      <w:spacing w:after="0" w:line="240" w:lineRule="auto"/>
    </w:pPr>
    <w:rPr>
      <w:sz w:val="20"/>
      <w:szCs w:val="20"/>
    </w:rPr>
  </w:style>
  <w:style w:type="character" w:customStyle="1" w:styleId="FootnoteTextChar">
    <w:name w:val="Footnote Text Char"/>
    <w:basedOn w:val="DefaultParagraphFont"/>
    <w:link w:val="FootnoteText"/>
    <w:uiPriority w:val="99"/>
    <w:rsid w:val="008B529B"/>
    <w:rPr>
      <w:sz w:val="20"/>
      <w:szCs w:val="20"/>
    </w:rPr>
  </w:style>
  <w:style w:type="paragraph" w:styleId="EndnoteText">
    <w:name w:val="endnote text"/>
    <w:basedOn w:val="Normal"/>
    <w:link w:val="EndnoteTextChar"/>
    <w:uiPriority w:val="99"/>
    <w:semiHidden/>
    <w:unhideWhenUsed/>
    <w:rsid w:val="008B5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29B"/>
    <w:rPr>
      <w:sz w:val="20"/>
      <w:szCs w:val="20"/>
    </w:rPr>
  </w:style>
  <w:style w:type="paragraph" w:customStyle="1" w:styleId="Body">
    <w:name w:val="Body"/>
    <w:rsid w:val="008B529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US"/>
    </w:rPr>
  </w:style>
  <w:style w:type="character" w:styleId="FootnoteReference">
    <w:name w:val="footnote reference"/>
    <w:basedOn w:val="DefaultParagraphFont"/>
    <w:uiPriority w:val="99"/>
    <w:unhideWhenUsed/>
    <w:rsid w:val="008B529B"/>
    <w:rPr>
      <w:vertAlign w:val="superscript"/>
    </w:rPr>
  </w:style>
  <w:style w:type="character" w:styleId="PageNumber">
    <w:name w:val="page number"/>
    <w:basedOn w:val="DefaultParagraphFont"/>
    <w:uiPriority w:val="99"/>
    <w:semiHidden/>
    <w:unhideWhenUsed/>
    <w:rsid w:val="008B529B"/>
  </w:style>
  <w:style w:type="character" w:styleId="EndnoteReference">
    <w:name w:val="endnote reference"/>
    <w:basedOn w:val="DefaultParagraphFont"/>
    <w:uiPriority w:val="99"/>
    <w:unhideWhenUsed/>
    <w:rsid w:val="008B529B"/>
    <w:rPr>
      <w:vertAlign w:val="superscript"/>
    </w:rPr>
  </w:style>
  <w:style w:type="paragraph" w:styleId="BalloonText">
    <w:name w:val="Balloon Text"/>
    <w:basedOn w:val="Normal"/>
    <w:link w:val="BalloonTextChar"/>
    <w:uiPriority w:val="99"/>
    <w:semiHidden/>
    <w:unhideWhenUsed/>
    <w:rsid w:val="008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9B"/>
    <w:rPr>
      <w:rFonts w:ascii="Tahoma" w:hAnsi="Tahoma" w:cs="Tahoma"/>
      <w:sz w:val="16"/>
      <w:szCs w:val="16"/>
    </w:rPr>
  </w:style>
  <w:style w:type="character" w:styleId="CommentReference">
    <w:name w:val="annotation reference"/>
    <w:basedOn w:val="DefaultParagraphFont"/>
    <w:uiPriority w:val="99"/>
    <w:semiHidden/>
    <w:unhideWhenUsed/>
    <w:rsid w:val="00A3313A"/>
    <w:rPr>
      <w:sz w:val="16"/>
      <w:szCs w:val="16"/>
    </w:rPr>
  </w:style>
  <w:style w:type="paragraph" w:styleId="CommentText">
    <w:name w:val="annotation text"/>
    <w:basedOn w:val="Normal"/>
    <w:link w:val="CommentTextChar"/>
    <w:uiPriority w:val="99"/>
    <w:semiHidden/>
    <w:unhideWhenUsed/>
    <w:rsid w:val="00A3313A"/>
    <w:pPr>
      <w:spacing w:line="240" w:lineRule="auto"/>
    </w:pPr>
    <w:rPr>
      <w:sz w:val="20"/>
      <w:szCs w:val="20"/>
    </w:rPr>
  </w:style>
  <w:style w:type="character" w:customStyle="1" w:styleId="CommentTextChar">
    <w:name w:val="Comment Text Char"/>
    <w:basedOn w:val="DefaultParagraphFont"/>
    <w:link w:val="CommentText"/>
    <w:uiPriority w:val="99"/>
    <w:semiHidden/>
    <w:rsid w:val="00A3313A"/>
    <w:rPr>
      <w:sz w:val="20"/>
      <w:szCs w:val="20"/>
    </w:rPr>
  </w:style>
  <w:style w:type="paragraph" w:styleId="CommentSubject">
    <w:name w:val="annotation subject"/>
    <w:basedOn w:val="CommentText"/>
    <w:next w:val="CommentText"/>
    <w:link w:val="CommentSubjectChar"/>
    <w:uiPriority w:val="99"/>
    <w:semiHidden/>
    <w:unhideWhenUsed/>
    <w:rsid w:val="00A3313A"/>
    <w:rPr>
      <w:b/>
      <w:bCs/>
    </w:rPr>
  </w:style>
  <w:style w:type="character" w:customStyle="1" w:styleId="CommentSubjectChar">
    <w:name w:val="Comment Subject Char"/>
    <w:basedOn w:val="CommentTextChar"/>
    <w:link w:val="CommentSubject"/>
    <w:uiPriority w:val="99"/>
    <w:semiHidden/>
    <w:rsid w:val="00A3313A"/>
    <w:rPr>
      <w:b/>
      <w:bCs/>
      <w:sz w:val="20"/>
      <w:szCs w:val="20"/>
    </w:rPr>
  </w:style>
  <w:style w:type="table" w:styleId="TableGrid">
    <w:name w:val="Table Grid"/>
    <w:basedOn w:val="TableNormal"/>
    <w:uiPriority w:val="59"/>
    <w:rsid w:val="0044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DB"/>
    <w:pPr>
      <w:ind w:left="720"/>
      <w:contextualSpacing/>
    </w:pPr>
  </w:style>
  <w:style w:type="paragraph" w:styleId="Revision">
    <w:name w:val="Revision"/>
    <w:hidden/>
    <w:uiPriority w:val="99"/>
    <w:semiHidden/>
    <w:rsid w:val="00131465"/>
    <w:pPr>
      <w:spacing w:after="0" w:line="240" w:lineRule="auto"/>
    </w:pPr>
  </w:style>
  <w:style w:type="paragraph" w:customStyle="1" w:styleId="Default">
    <w:name w:val="Default"/>
    <w:rsid w:val="00FF7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20D8"/>
    <w:rPr>
      <w:color w:val="0000FF"/>
      <w:u w:val="single"/>
    </w:rPr>
  </w:style>
  <w:style w:type="character" w:styleId="FollowedHyperlink">
    <w:name w:val="FollowedHyperlink"/>
    <w:basedOn w:val="DefaultParagraphFont"/>
    <w:uiPriority w:val="99"/>
    <w:semiHidden/>
    <w:unhideWhenUsed/>
    <w:rsid w:val="00D335AA"/>
    <w:rPr>
      <w:color w:val="800080" w:themeColor="followedHyperlink"/>
      <w:u w:val="single"/>
    </w:rPr>
  </w:style>
  <w:style w:type="paragraph" w:styleId="Header">
    <w:name w:val="header"/>
    <w:basedOn w:val="Normal"/>
    <w:link w:val="HeaderChar"/>
    <w:uiPriority w:val="99"/>
    <w:unhideWhenUsed/>
    <w:rsid w:val="00B341BC"/>
    <w:pPr>
      <w:tabs>
        <w:tab w:val="center" w:pos="4252"/>
        <w:tab w:val="right" w:pos="8504"/>
      </w:tabs>
      <w:snapToGrid w:val="0"/>
    </w:pPr>
  </w:style>
  <w:style w:type="character" w:customStyle="1" w:styleId="HeaderChar">
    <w:name w:val="Header Char"/>
    <w:basedOn w:val="DefaultParagraphFont"/>
    <w:link w:val="Header"/>
    <w:uiPriority w:val="99"/>
    <w:rsid w:val="00B34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29B"/>
  </w:style>
  <w:style w:type="paragraph" w:styleId="FootnoteText">
    <w:name w:val="footnote text"/>
    <w:basedOn w:val="Normal"/>
    <w:link w:val="FootnoteTextChar"/>
    <w:uiPriority w:val="99"/>
    <w:unhideWhenUsed/>
    <w:rsid w:val="008B529B"/>
    <w:pPr>
      <w:spacing w:after="0" w:line="240" w:lineRule="auto"/>
    </w:pPr>
    <w:rPr>
      <w:sz w:val="20"/>
      <w:szCs w:val="20"/>
    </w:rPr>
  </w:style>
  <w:style w:type="character" w:customStyle="1" w:styleId="FootnoteTextChar">
    <w:name w:val="Footnote Text Char"/>
    <w:basedOn w:val="DefaultParagraphFont"/>
    <w:link w:val="FootnoteText"/>
    <w:uiPriority w:val="99"/>
    <w:rsid w:val="008B529B"/>
    <w:rPr>
      <w:sz w:val="20"/>
      <w:szCs w:val="20"/>
    </w:rPr>
  </w:style>
  <w:style w:type="paragraph" w:styleId="EndnoteText">
    <w:name w:val="endnote text"/>
    <w:basedOn w:val="Normal"/>
    <w:link w:val="EndnoteTextChar"/>
    <w:uiPriority w:val="99"/>
    <w:semiHidden/>
    <w:unhideWhenUsed/>
    <w:rsid w:val="008B5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29B"/>
    <w:rPr>
      <w:sz w:val="20"/>
      <w:szCs w:val="20"/>
    </w:rPr>
  </w:style>
  <w:style w:type="paragraph" w:customStyle="1" w:styleId="Body">
    <w:name w:val="Body"/>
    <w:rsid w:val="008B529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US"/>
    </w:rPr>
  </w:style>
  <w:style w:type="character" w:styleId="FootnoteReference">
    <w:name w:val="footnote reference"/>
    <w:basedOn w:val="DefaultParagraphFont"/>
    <w:uiPriority w:val="99"/>
    <w:unhideWhenUsed/>
    <w:rsid w:val="008B529B"/>
    <w:rPr>
      <w:vertAlign w:val="superscript"/>
    </w:rPr>
  </w:style>
  <w:style w:type="character" w:styleId="PageNumber">
    <w:name w:val="page number"/>
    <w:basedOn w:val="DefaultParagraphFont"/>
    <w:uiPriority w:val="99"/>
    <w:semiHidden/>
    <w:unhideWhenUsed/>
    <w:rsid w:val="008B529B"/>
  </w:style>
  <w:style w:type="character" w:styleId="EndnoteReference">
    <w:name w:val="endnote reference"/>
    <w:basedOn w:val="DefaultParagraphFont"/>
    <w:uiPriority w:val="99"/>
    <w:unhideWhenUsed/>
    <w:rsid w:val="008B529B"/>
    <w:rPr>
      <w:vertAlign w:val="superscript"/>
    </w:rPr>
  </w:style>
  <w:style w:type="paragraph" w:styleId="BalloonText">
    <w:name w:val="Balloon Text"/>
    <w:basedOn w:val="Normal"/>
    <w:link w:val="BalloonTextChar"/>
    <w:uiPriority w:val="99"/>
    <w:semiHidden/>
    <w:unhideWhenUsed/>
    <w:rsid w:val="008B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9B"/>
    <w:rPr>
      <w:rFonts w:ascii="Tahoma" w:hAnsi="Tahoma" w:cs="Tahoma"/>
      <w:sz w:val="16"/>
      <w:szCs w:val="16"/>
    </w:rPr>
  </w:style>
  <w:style w:type="character" w:styleId="CommentReference">
    <w:name w:val="annotation reference"/>
    <w:basedOn w:val="DefaultParagraphFont"/>
    <w:uiPriority w:val="99"/>
    <w:semiHidden/>
    <w:unhideWhenUsed/>
    <w:rsid w:val="00A3313A"/>
    <w:rPr>
      <w:sz w:val="16"/>
      <w:szCs w:val="16"/>
    </w:rPr>
  </w:style>
  <w:style w:type="paragraph" w:styleId="CommentText">
    <w:name w:val="annotation text"/>
    <w:basedOn w:val="Normal"/>
    <w:link w:val="CommentTextChar"/>
    <w:uiPriority w:val="99"/>
    <w:semiHidden/>
    <w:unhideWhenUsed/>
    <w:rsid w:val="00A3313A"/>
    <w:pPr>
      <w:spacing w:line="240" w:lineRule="auto"/>
    </w:pPr>
    <w:rPr>
      <w:sz w:val="20"/>
      <w:szCs w:val="20"/>
    </w:rPr>
  </w:style>
  <w:style w:type="character" w:customStyle="1" w:styleId="CommentTextChar">
    <w:name w:val="Comment Text Char"/>
    <w:basedOn w:val="DefaultParagraphFont"/>
    <w:link w:val="CommentText"/>
    <w:uiPriority w:val="99"/>
    <w:semiHidden/>
    <w:rsid w:val="00A3313A"/>
    <w:rPr>
      <w:sz w:val="20"/>
      <w:szCs w:val="20"/>
    </w:rPr>
  </w:style>
  <w:style w:type="paragraph" w:styleId="CommentSubject">
    <w:name w:val="annotation subject"/>
    <w:basedOn w:val="CommentText"/>
    <w:next w:val="CommentText"/>
    <w:link w:val="CommentSubjectChar"/>
    <w:uiPriority w:val="99"/>
    <w:semiHidden/>
    <w:unhideWhenUsed/>
    <w:rsid w:val="00A3313A"/>
    <w:rPr>
      <w:b/>
      <w:bCs/>
    </w:rPr>
  </w:style>
  <w:style w:type="character" w:customStyle="1" w:styleId="CommentSubjectChar">
    <w:name w:val="Comment Subject Char"/>
    <w:basedOn w:val="CommentTextChar"/>
    <w:link w:val="CommentSubject"/>
    <w:uiPriority w:val="99"/>
    <w:semiHidden/>
    <w:rsid w:val="00A3313A"/>
    <w:rPr>
      <w:b/>
      <w:bCs/>
      <w:sz w:val="20"/>
      <w:szCs w:val="20"/>
    </w:rPr>
  </w:style>
  <w:style w:type="table" w:styleId="TableGrid">
    <w:name w:val="Table Grid"/>
    <w:basedOn w:val="TableNormal"/>
    <w:uiPriority w:val="59"/>
    <w:rsid w:val="0044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DB"/>
    <w:pPr>
      <w:ind w:left="720"/>
      <w:contextualSpacing/>
    </w:pPr>
  </w:style>
  <w:style w:type="paragraph" w:styleId="Revision">
    <w:name w:val="Revision"/>
    <w:hidden/>
    <w:uiPriority w:val="99"/>
    <w:semiHidden/>
    <w:rsid w:val="00131465"/>
    <w:pPr>
      <w:spacing w:after="0" w:line="240" w:lineRule="auto"/>
    </w:pPr>
  </w:style>
  <w:style w:type="paragraph" w:customStyle="1" w:styleId="Default">
    <w:name w:val="Default"/>
    <w:rsid w:val="00FF7E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20D8"/>
    <w:rPr>
      <w:color w:val="0000FF"/>
      <w:u w:val="single"/>
    </w:rPr>
  </w:style>
  <w:style w:type="character" w:styleId="FollowedHyperlink">
    <w:name w:val="FollowedHyperlink"/>
    <w:basedOn w:val="DefaultParagraphFont"/>
    <w:uiPriority w:val="99"/>
    <w:semiHidden/>
    <w:unhideWhenUsed/>
    <w:rsid w:val="00D335AA"/>
    <w:rPr>
      <w:color w:val="800080" w:themeColor="followedHyperlink"/>
      <w:u w:val="single"/>
    </w:rPr>
  </w:style>
  <w:style w:type="paragraph" w:styleId="Header">
    <w:name w:val="header"/>
    <w:basedOn w:val="Normal"/>
    <w:link w:val="HeaderChar"/>
    <w:uiPriority w:val="99"/>
    <w:unhideWhenUsed/>
    <w:rsid w:val="00B341BC"/>
    <w:pPr>
      <w:tabs>
        <w:tab w:val="center" w:pos="4252"/>
        <w:tab w:val="right" w:pos="8504"/>
      </w:tabs>
      <w:snapToGrid w:val="0"/>
    </w:pPr>
  </w:style>
  <w:style w:type="character" w:customStyle="1" w:styleId="HeaderChar">
    <w:name w:val="Header Char"/>
    <w:basedOn w:val="DefaultParagraphFont"/>
    <w:link w:val="Header"/>
    <w:uiPriority w:val="99"/>
    <w:rsid w:val="00B3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874">
      <w:bodyDiv w:val="1"/>
      <w:marLeft w:val="0"/>
      <w:marRight w:val="0"/>
      <w:marTop w:val="0"/>
      <w:marBottom w:val="0"/>
      <w:divBdr>
        <w:top w:val="none" w:sz="0" w:space="0" w:color="auto"/>
        <w:left w:val="none" w:sz="0" w:space="0" w:color="auto"/>
        <w:bottom w:val="none" w:sz="0" w:space="0" w:color="auto"/>
        <w:right w:val="none" w:sz="0" w:space="0" w:color="auto"/>
      </w:divBdr>
    </w:div>
    <w:div w:id="234095760">
      <w:bodyDiv w:val="1"/>
      <w:marLeft w:val="0"/>
      <w:marRight w:val="0"/>
      <w:marTop w:val="0"/>
      <w:marBottom w:val="0"/>
      <w:divBdr>
        <w:top w:val="none" w:sz="0" w:space="0" w:color="auto"/>
        <w:left w:val="none" w:sz="0" w:space="0" w:color="auto"/>
        <w:bottom w:val="none" w:sz="0" w:space="0" w:color="auto"/>
        <w:right w:val="none" w:sz="0" w:space="0" w:color="auto"/>
      </w:divBdr>
    </w:div>
    <w:div w:id="251209793">
      <w:bodyDiv w:val="1"/>
      <w:marLeft w:val="0"/>
      <w:marRight w:val="0"/>
      <w:marTop w:val="0"/>
      <w:marBottom w:val="0"/>
      <w:divBdr>
        <w:top w:val="none" w:sz="0" w:space="0" w:color="auto"/>
        <w:left w:val="none" w:sz="0" w:space="0" w:color="auto"/>
        <w:bottom w:val="none" w:sz="0" w:space="0" w:color="auto"/>
        <w:right w:val="none" w:sz="0" w:space="0" w:color="auto"/>
      </w:divBdr>
    </w:div>
    <w:div w:id="620962285">
      <w:bodyDiv w:val="1"/>
      <w:marLeft w:val="0"/>
      <w:marRight w:val="0"/>
      <w:marTop w:val="0"/>
      <w:marBottom w:val="0"/>
      <w:divBdr>
        <w:top w:val="none" w:sz="0" w:space="0" w:color="auto"/>
        <w:left w:val="none" w:sz="0" w:space="0" w:color="auto"/>
        <w:bottom w:val="none" w:sz="0" w:space="0" w:color="auto"/>
        <w:right w:val="none" w:sz="0" w:space="0" w:color="auto"/>
      </w:divBdr>
    </w:div>
    <w:div w:id="1431898494">
      <w:bodyDiv w:val="1"/>
      <w:marLeft w:val="0"/>
      <w:marRight w:val="0"/>
      <w:marTop w:val="0"/>
      <w:marBottom w:val="0"/>
      <w:divBdr>
        <w:top w:val="none" w:sz="0" w:space="0" w:color="auto"/>
        <w:left w:val="none" w:sz="0" w:space="0" w:color="auto"/>
        <w:bottom w:val="none" w:sz="0" w:space="0" w:color="auto"/>
        <w:right w:val="none" w:sz="0" w:space="0" w:color="auto"/>
      </w:divBdr>
    </w:div>
    <w:div w:id="1557660711">
      <w:bodyDiv w:val="1"/>
      <w:marLeft w:val="0"/>
      <w:marRight w:val="0"/>
      <w:marTop w:val="0"/>
      <w:marBottom w:val="0"/>
      <w:divBdr>
        <w:top w:val="none" w:sz="0" w:space="0" w:color="auto"/>
        <w:left w:val="none" w:sz="0" w:space="0" w:color="auto"/>
        <w:bottom w:val="none" w:sz="0" w:space="0" w:color="auto"/>
        <w:right w:val="none" w:sz="0" w:space="0" w:color="auto"/>
      </w:divBdr>
    </w:div>
    <w:div w:id="1618098687">
      <w:bodyDiv w:val="1"/>
      <w:marLeft w:val="0"/>
      <w:marRight w:val="0"/>
      <w:marTop w:val="0"/>
      <w:marBottom w:val="0"/>
      <w:divBdr>
        <w:top w:val="none" w:sz="0" w:space="0" w:color="auto"/>
        <w:left w:val="none" w:sz="0" w:space="0" w:color="auto"/>
        <w:bottom w:val="none" w:sz="0" w:space="0" w:color="auto"/>
        <w:right w:val="none" w:sz="0" w:space="0" w:color="auto"/>
      </w:divBdr>
    </w:div>
    <w:div w:id="1994410874">
      <w:bodyDiv w:val="1"/>
      <w:marLeft w:val="0"/>
      <w:marRight w:val="0"/>
      <w:marTop w:val="0"/>
      <w:marBottom w:val="0"/>
      <w:divBdr>
        <w:top w:val="none" w:sz="0" w:space="0" w:color="auto"/>
        <w:left w:val="none" w:sz="0" w:space="0" w:color="auto"/>
        <w:bottom w:val="none" w:sz="0" w:space="0" w:color="auto"/>
        <w:right w:val="none" w:sz="0" w:space="0" w:color="auto"/>
      </w:divBdr>
    </w:div>
    <w:div w:id="20227801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966">
          <w:marLeft w:val="0"/>
          <w:marRight w:val="0"/>
          <w:marTop w:val="0"/>
          <w:marBottom w:val="0"/>
          <w:divBdr>
            <w:top w:val="none" w:sz="0" w:space="0" w:color="auto"/>
            <w:left w:val="none" w:sz="0" w:space="0" w:color="auto"/>
            <w:bottom w:val="none" w:sz="0" w:space="0" w:color="auto"/>
            <w:right w:val="none" w:sz="0" w:space="0" w:color="auto"/>
          </w:divBdr>
          <w:divsChild>
            <w:div w:id="2001351058">
              <w:marLeft w:val="0"/>
              <w:marRight w:val="0"/>
              <w:marTop w:val="0"/>
              <w:marBottom w:val="0"/>
              <w:divBdr>
                <w:top w:val="none" w:sz="0" w:space="0" w:color="auto"/>
                <w:left w:val="none" w:sz="0" w:space="0" w:color="auto"/>
                <w:bottom w:val="none" w:sz="0" w:space="0" w:color="auto"/>
                <w:right w:val="none" w:sz="0" w:space="0" w:color="auto"/>
              </w:divBdr>
              <w:divsChild>
                <w:div w:id="1153527438">
                  <w:marLeft w:val="0"/>
                  <w:marRight w:val="0"/>
                  <w:marTop w:val="0"/>
                  <w:marBottom w:val="0"/>
                  <w:divBdr>
                    <w:top w:val="none" w:sz="0" w:space="0" w:color="auto"/>
                    <w:left w:val="none" w:sz="0" w:space="0" w:color="auto"/>
                    <w:bottom w:val="none" w:sz="0" w:space="0" w:color="auto"/>
                    <w:right w:val="none" w:sz="0" w:space="0" w:color="auto"/>
                  </w:divBdr>
                  <w:divsChild>
                    <w:div w:id="1718428419">
                      <w:marLeft w:val="0"/>
                      <w:marRight w:val="0"/>
                      <w:marTop w:val="0"/>
                      <w:marBottom w:val="0"/>
                      <w:divBdr>
                        <w:top w:val="none" w:sz="0" w:space="0" w:color="auto"/>
                        <w:left w:val="none" w:sz="0" w:space="0" w:color="auto"/>
                        <w:bottom w:val="none" w:sz="0" w:space="0" w:color="auto"/>
                        <w:right w:val="none" w:sz="0" w:space="0" w:color="auto"/>
                      </w:divBdr>
                      <w:divsChild>
                        <w:div w:id="1447040364">
                          <w:marLeft w:val="0"/>
                          <w:marRight w:val="0"/>
                          <w:marTop w:val="0"/>
                          <w:marBottom w:val="0"/>
                          <w:divBdr>
                            <w:top w:val="none" w:sz="0" w:space="0" w:color="auto"/>
                            <w:left w:val="none" w:sz="0" w:space="0" w:color="auto"/>
                            <w:bottom w:val="none" w:sz="0" w:space="0" w:color="auto"/>
                            <w:right w:val="none" w:sz="0" w:space="0" w:color="auto"/>
                          </w:divBdr>
                          <w:divsChild>
                            <w:div w:id="98185645">
                              <w:marLeft w:val="0"/>
                              <w:marRight w:val="0"/>
                              <w:marTop w:val="0"/>
                              <w:marBottom w:val="0"/>
                              <w:divBdr>
                                <w:top w:val="none" w:sz="0" w:space="0" w:color="auto"/>
                                <w:left w:val="none" w:sz="0" w:space="0" w:color="auto"/>
                                <w:bottom w:val="none" w:sz="0" w:space="0" w:color="auto"/>
                                <w:right w:val="none" w:sz="0" w:space="0" w:color="auto"/>
                              </w:divBdr>
                              <w:divsChild>
                                <w:div w:id="1640724859">
                                  <w:marLeft w:val="0"/>
                                  <w:marRight w:val="0"/>
                                  <w:marTop w:val="0"/>
                                  <w:marBottom w:val="0"/>
                                  <w:divBdr>
                                    <w:top w:val="none" w:sz="0" w:space="0" w:color="auto"/>
                                    <w:left w:val="none" w:sz="0" w:space="0" w:color="auto"/>
                                    <w:bottom w:val="none" w:sz="0" w:space="0" w:color="auto"/>
                                    <w:right w:val="none" w:sz="0" w:space="0" w:color="auto"/>
                                  </w:divBdr>
                                  <w:divsChild>
                                    <w:div w:id="1462729349">
                                      <w:marLeft w:val="0"/>
                                      <w:marRight w:val="0"/>
                                      <w:marTop w:val="0"/>
                                      <w:marBottom w:val="0"/>
                                      <w:divBdr>
                                        <w:top w:val="none" w:sz="0" w:space="0" w:color="auto"/>
                                        <w:left w:val="none" w:sz="0" w:space="0" w:color="auto"/>
                                        <w:bottom w:val="none" w:sz="0" w:space="0" w:color="auto"/>
                                        <w:right w:val="none" w:sz="0" w:space="0" w:color="auto"/>
                                      </w:divBdr>
                                      <w:divsChild>
                                        <w:div w:id="978926168">
                                          <w:marLeft w:val="0"/>
                                          <w:marRight w:val="0"/>
                                          <w:marTop w:val="0"/>
                                          <w:marBottom w:val="0"/>
                                          <w:divBdr>
                                            <w:top w:val="none" w:sz="0" w:space="0" w:color="auto"/>
                                            <w:left w:val="none" w:sz="0" w:space="0" w:color="auto"/>
                                            <w:bottom w:val="none" w:sz="0" w:space="0" w:color="auto"/>
                                            <w:right w:val="none" w:sz="0" w:space="0" w:color="auto"/>
                                          </w:divBdr>
                                          <w:divsChild>
                                            <w:div w:id="451483151">
                                              <w:marLeft w:val="0"/>
                                              <w:marRight w:val="0"/>
                                              <w:marTop w:val="0"/>
                                              <w:marBottom w:val="0"/>
                                              <w:divBdr>
                                                <w:top w:val="none" w:sz="0" w:space="0" w:color="auto"/>
                                                <w:left w:val="none" w:sz="0" w:space="0" w:color="auto"/>
                                                <w:bottom w:val="none" w:sz="0" w:space="0" w:color="auto"/>
                                                <w:right w:val="none" w:sz="0" w:space="0" w:color="auto"/>
                                              </w:divBdr>
                                              <w:divsChild>
                                                <w:div w:id="2121411067">
                                                  <w:marLeft w:val="0"/>
                                                  <w:marRight w:val="0"/>
                                                  <w:marTop w:val="0"/>
                                                  <w:marBottom w:val="0"/>
                                                  <w:divBdr>
                                                    <w:top w:val="none" w:sz="0" w:space="0" w:color="auto"/>
                                                    <w:left w:val="none" w:sz="0" w:space="0" w:color="auto"/>
                                                    <w:bottom w:val="none" w:sz="0" w:space="0" w:color="auto"/>
                                                    <w:right w:val="none" w:sz="0" w:space="0" w:color="auto"/>
                                                  </w:divBdr>
                                                  <w:divsChild>
                                                    <w:div w:id="16312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FD84-DBAC-495C-BA9B-FB1820080275}">
  <ds:schemaRefs>
    <ds:schemaRef ds:uri="http://schemas.openxmlformats.org/officeDocument/2006/bibliography"/>
  </ds:schemaRefs>
</ds:datastoreItem>
</file>

<file path=customXml/itemProps2.xml><?xml version="1.0" encoding="utf-8"?>
<ds:datastoreItem xmlns:ds="http://schemas.openxmlformats.org/officeDocument/2006/customXml" ds:itemID="{728C99A7-B83F-45E2-A95F-7E9494D33801}">
  <ds:schemaRefs>
    <ds:schemaRef ds:uri="http://schemas.openxmlformats.org/officeDocument/2006/bibliography"/>
  </ds:schemaRefs>
</ds:datastoreItem>
</file>

<file path=customXml/itemProps3.xml><?xml version="1.0" encoding="utf-8"?>
<ds:datastoreItem xmlns:ds="http://schemas.openxmlformats.org/officeDocument/2006/customXml" ds:itemID="{20C7F2A6-98FE-42DE-BD6C-5AD51A0E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SCHLEIMANN, Finn</dc:creator>
  <cp:lastModifiedBy>NICOD, Marjolaine</cp:lastModifiedBy>
  <cp:revision>4</cp:revision>
  <cp:lastPrinted>2016-05-10T12:25:00Z</cp:lastPrinted>
  <dcterms:created xsi:type="dcterms:W3CDTF">2016-06-17T14:28:00Z</dcterms:created>
  <dcterms:modified xsi:type="dcterms:W3CDTF">2016-06-17T18:16:00Z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